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color w:val="auto"/>
          <w:kern w:val="0"/>
          <w:sz w:val="52"/>
          <w:szCs w:val="52"/>
          <w:highlight w:val="none"/>
        </w:rPr>
      </w:pPr>
    </w:p>
    <w:p>
      <w:pPr>
        <w:spacing w:line="540" w:lineRule="exact"/>
        <w:rPr>
          <w:rFonts w:hint="default" w:ascii="Times New Roman" w:hAnsi="Times New Roman" w:eastAsia="华文中宋" w:cs="Times New Roman"/>
          <w:b/>
          <w:color w:val="auto"/>
          <w:kern w:val="0"/>
          <w:sz w:val="52"/>
          <w:szCs w:val="52"/>
          <w:highlight w:val="none"/>
        </w:rPr>
      </w:pPr>
    </w:p>
    <w:p>
      <w:pPr>
        <w:spacing w:line="540" w:lineRule="exact"/>
        <w:jc w:val="center"/>
        <w:rPr>
          <w:rFonts w:hint="default" w:ascii="Times New Roman" w:hAnsi="Times New Roman" w:eastAsia="华文中宋" w:cs="Times New Roman"/>
          <w:b/>
          <w:color w:val="auto"/>
          <w:kern w:val="0"/>
          <w:sz w:val="52"/>
          <w:szCs w:val="52"/>
          <w:highlight w:val="none"/>
        </w:rPr>
      </w:pPr>
    </w:p>
    <w:p>
      <w:pPr>
        <w:spacing w:line="540" w:lineRule="exact"/>
        <w:jc w:val="center"/>
        <w:rPr>
          <w:rFonts w:hint="default" w:ascii="Times New Roman" w:hAnsi="Times New Roman" w:eastAsia="华文中宋" w:cs="Times New Roman"/>
          <w:b/>
          <w:color w:val="auto"/>
          <w:kern w:val="0"/>
          <w:sz w:val="52"/>
          <w:szCs w:val="52"/>
          <w:highlight w:val="none"/>
        </w:rPr>
      </w:pPr>
    </w:p>
    <w:p>
      <w:pPr>
        <w:spacing w:line="540" w:lineRule="exact"/>
        <w:jc w:val="center"/>
        <w:rPr>
          <w:rFonts w:hint="default" w:ascii="Times New Roman" w:hAnsi="Times New Roman" w:eastAsia="方正小标宋_GBK" w:cs="Times New Roman"/>
          <w:color w:val="auto"/>
          <w:kern w:val="0"/>
          <w:sz w:val="48"/>
          <w:szCs w:val="48"/>
          <w:highlight w:val="none"/>
        </w:rPr>
      </w:pPr>
      <w:r>
        <w:rPr>
          <w:rFonts w:hint="default" w:ascii="Times New Roman" w:hAnsi="Times New Roman" w:eastAsia="方正小标宋_GBK" w:cs="Times New Roman"/>
          <w:color w:val="auto"/>
          <w:kern w:val="0"/>
          <w:sz w:val="48"/>
          <w:szCs w:val="48"/>
          <w:highlight w:val="none"/>
        </w:rPr>
        <w:t>巴财社[2023]59号</w:t>
      </w:r>
      <w:r>
        <w:rPr>
          <w:rFonts w:hint="eastAsia" w:eastAsia="方正小标宋_GBK" w:cs="Times New Roman"/>
          <w:color w:val="auto"/>
          <w:kern w:val="0"/>
          <w:sz w:val="48"/>
          <w:szCs w:val="48"/>
          <w:highlight w:val="none"/>
          <w:lang w:val="en-US" w:eastAsia="zh-CN"/>
        </w:rPr>
        <w:t xml:space="preserve"> </w:t>
      </w:r>
      <w:r>
        <w:rPr>
          <w:rFonts w:hint="default" w:ascii="Times New Roman" w:hAnsi="Times New Roman" w:eastAsia="方正小标宋_GBK" w:cs="Times New Roman"/>
          <w:color w:val="auto"/>
          <w:kern w:val="0"/>
          <w:sz w:val="48"/>
          <w:szCs w:val="48"/>
          <w:highlight w:val="none"/>
        </w:rPr>
        <w:t>提前下达2024年中央财政优抚对象补助经费预算[第一批]的通知项目支出绩效评价</w:t>
      </w:r>
    </w:p>
    <w:p>
      <w:pPr>
        <w:spacing w:line="540" w:lineRule="exact"/>
        <w:jc w:val="center"/>
        <w:rPr>
          <w:rFonts w:hint="eastAsia" w:ascii="Times New Roman" w:hAnsi="Times New Roman" w:eastAsia="方正小标宋_GBK" w:cs="Times New Roman"/>
          <w:color w:val="auto"/>
          <w:kern w:val="0"/>
          <w:sz w:val="48"/>
          <w:szCs w:val="48"/>
          <w:highlight w:val="none"/>
          <w:lang w:val="en-US" w:eastAsia="zh-CN"/>
        </w:rPr>
      </w:pPr>
      <w:r>
        <w:rPr>
          <w:rFonts w:hint="default" w:ascii="Times New Roman" w:hAnsi="Times New Roman" w:eastAsia="方正小标宋_GBK" w:cs="Times New Roman"/>
          <w:color w:val="auto"/>
          <w:kern w:val="0"/>
          <w:sz w:val="48"/>
          <w:szCs w:val="48"/>
          <w:highlight w:val="none"/>
        </w:rPr>
        <w:t>报告</w:t>
      </w:r>
    </w:p>
    <w:p>
      <w:pPr>
        <w:spacing w:line="540" w:lineRule="exact"/>
        <w:jc w:val="center"/>
        <w:rPr>
          <w:rFonts w:hint="default" w:ascii="Times New Roman" w:hAnsi="Times New Roman" w:eastAsia="华文中宋" w:cs="Times New Roman"/>
          <w:b/>
          <w:color w:val="auto"/>
          <w:kern w:val="0"/>
          <w:sz w:val="52"/>
          <w:szCs w:val="52"/>
          <w:highlight w:val="none"/>
        </w:rPr>
      </w:pPr>
    </w:p>
    <w:p>
      <w:pPr>
        <w:spacing w:line="540" w:lineRule="exact"/>
        <w:jc w:val="center"/>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（202</w:t>
      </w:r>
      <w:r>
        <w:rPr>
          <w:rFonts w:hint="default" w:ascii="Times New Roman" w:hAnsi="Times New Roman" w:eastAsia="仿宋_GB2312" w:cs="Times New Roman"/>
          <w:color w:val="auto"/>
          <w:kern w:val="0"/>
          <w:sz w:val="36"/>
          <w:szCs w:val="36"/>
          <w:highlight w:val="none"/>
          <w:lang w:val="en-US" w:eastAsia="zh-CN"/>
        </w:rPr>
        <w:t>4</w:t>
      </w:r>
      <w:r>
        <w:rPr>
          <w:rFonts w:hint="default" w:ascii="Times New Roman" w:hAnsi="Times New Roman" w:eastAsia="仿宋_GB2312" w:cs="Times New Roman"/>
          <w:color w:val="auto"/>
          <w:kern w:val="0"/>
          <w:sz w:val="36"/>
          <w:szCs w:val="36"/>
          <w:highlight w:val="none"/>
        </w:rPr>
        <w:t>年度）</w:t>
      </w:r>
    </w:p>
    <w:p>
      <w:pPr>
        <w:spacing w:line="540" w:lineRule="exact"/>
        <w:jc w:val="center"/>
        <w:rPr>
          <w:rFonts w:hint="default" w:ascii="Times New Roman" w:hAnsi="Times New Roman" w:eastAsia="仿宋_GB2312" w:cs="Times New Roman"/>
          <w:color w:val="auto"/>
          <w:kern w:val="0"/>
          <w:sz w:val="30"/>
          <w:szCs w:val="30"/>
          <w:highlight w:val="none"/>
        </w:rPr>
      </w:pPr>
    </w:p>
    <w:p>
      <w:pPr>
        <w:pStyle w:val="10"/>
        <w:rPr>
          <w:rFonts w:hint="default" w:ascii="Times New Roman" w:hAnsi="Times New Roman" w:cs="Times New Roman"/>
          <w:color w:val="auto"/>
          <w:highlight w:val="none"/>
        </w:rPr>
      </w:pPr>
    </w:p>
    <w:p>
      <w:pPr>
        <w:spacing w:line="540" w:lineRule="exact"/>
        <w:jc w:val="center"/>
        <w:rPr>
          <w:rFonts w:hint="default" w:ascii="Times New Roman" w:hAnsi="Times New Roman" w:eastAsia="仿宋_GB2312" w:cs="Times New Roman"/>
          <w:color w:val="auto"/>
          <w:kern w:val="0"/>
          <w:sz w:val="30"/>
          <w:szCs w:val="30"/>
          <w:highlight w:val="none"/>
        </w:rPr>
      </w:pPr>
    </w:p>
    <w:p>
      <w:pPr>
        <w:spacing w:line="540" w:lineRule="exact"/>
        <w:rPr>
          <w:rFonts w:hint="default" w:ascii="Times New Roman" w:hAnsi="Times New Roman" w:eastAsia="仿宋_GB2312" w:cs="Times New Roman"/>
          <w:color w:val="auto"/>
          <w:kern w:val="0"/>
          <w:sz w:val="30"/>
          <w:szCs w:val="30"/>
          <w:highlight w:val="none"/>
        </w:rPr>
      </w:pPr>
    </w:p>
    <w:p>
      <w:pPr>
        <w:spacing w:line="700" w:lineRule="exact"/>
        <w:ind w:left="3236" w:leftChars="684" w:hanging="1800" w:hangingChars="500"/>
        <w:jc w:val="left"/>
        <w:rPr>
          <w:rFonts w:hint="eastAsia" w:eastAsia="仿宋_GB2312" w:cs="Times New Roman"/>
          <w:color w:val="auto"/>
          <w:kern w:val="0"/>
          <w:sz w:val="36"/>
          <w:szCs w:val="36"/>
          <w:highlight w:val="none"/>
          <w:lang w:val="en-US" w:eastAsia="zh-CN"/>
        </w:rPr>
      </w:pPr>
      <w:r>
        <w:rPr>
          <w:rFonts w:hint="default" w:ascii="Times New Roman" w:hAnsi="Times New Roman" w:eastAsia="仿宋_GB2312" w:cs="Times New Roman"/>
          <w:color w:val="auto"/>
          <w:kern w:val="0"/>
          <w:sz w:val="36"/>
          <w:szCs w:val="36"/>
          <w:highlight w:val="none"/>
        </w:rPr>
        <w:t>项目名称：巴财社[2023]59号</w:t>
      </w:r>
      <w:r>
        <w:rPr>
          <w:rFonts w:hint="eastAsia" w:ascii="Times New Roman" w:hAnsi="Times New Roman" w:eastAsia="仿宋_GB2312" w:cs="Times New Roman"/>
          <w:color w:val="auto"/>
          <w:kern w:val="0"/>
          <w:sz w:val="36"/>
          <w:szCs w:val="36"/>
          <w:highlight w:val="none"/>
          <w:lang w:val="en-US" w:eastAsia="zh-CN"/>
        </w:rPr>
        <w:t xml:space="preserve"> </w:t>
      </w:r>
      <w:r>
        <w:rPr>
          <w:rFonts w:hint="default" w:ascii="Times New Roman" w:hAnsi="Times New Roman" w:eastAsia="仿宋_GB2312" w:cs="Times New Roman"/>
          <w:color w:val="auto"/>
          <w:kern w:val="0"/>
          <w:sz w:val="36"/>
          <w:szCs w:val="36"/>
          <w:highlight w:val="none"/>
        </w:rPr>
        <w:t>提前下达2024年中央财政优抚对象补助经费预算[第一批]的通知实施</w:t>
      </w:r>
      <w:r>
        <w:rPr>
          <w:rFonts w:hint="eastAsia" w:eastAsia="仿宋_GB2312" w:cs="Times New Roman"/>
          <w:color w:val="auto"/>
          <w:kern w:val="0"/>
          <w:sz w:val="36"/>
          <w:szCs w:val="36"/>
          <w:highlight w:val="none"/>
          <w:lang w:val="en-US" w:eastAsia="zh-CN"/>
        </w:rPr>
        <w:t xml:space="preserve">  </w:t>
      </w:r>
    </w:p>
    <w:p>
      <w:pPr>
        <w:spacing w:line="700" w:lineRule="exact"/>
        <w:ind w:firstLine="1440" w:firstLineChars="400"/>
        <w:jc w:val="left"/>
        <w:rPr>
          <w:rFonts w:hint="eastAsia" w:ascii="Times New Roman" w:hAnsi="Times New Roman" w:eastAsia="仿宋_GB2312" w:cs="Times New Roman"/>
          <w:color w:val="auto"/>
          <w:kern w:val="0"/>
          <w:sz w:val="36"/>
          <w:szCs w:val="36"/>
          <w:highlight w:val="none"/>
          <w:lang w:eastAsia="zh-CN"/>
        </w:rPr>
      </w:pPr>
      <w:r>
        <w:rPr>
          <w:rFonts w:hint="default" w:ascii="Times New Roman" w:hAnsi="Times New Roman" w:eastAsia="仿宋_GB2312" w:cs="Times New Roman"/>
          <w:color w:val="auto"/>
          <w:kern w:val="0"/>
          <w:sz w:val="36"/>
          <w:szCs w:val="36"/>
          <w:highlight w:val="none"/>
        </w:rPr>
        <w:t>单位（公章）：</w:t>
      </w:r>
      <w:r>
        <w:rPr>
          <w:rFonts w:hint="eastAsia" w:eastAsia="仿宋_GB2312" w:cs="Times New Roman"/>
          <w:color w:val="auto"/>
          <w:kern w:val="0"/>
          <w:sz w:val="36"/>
          <w:szCs w:val="36"/>
          <w:highlight w:val="none"/>
          <w:lang w:eastAsia="zh-CN"/>
        </w:rPr>
        <w:t>库尔勒市退役军人事务局</w:t>
      </w:r>
    </w:p>
    <w:p>
      <w:pPr>
        <w:spacing w:line="700" w:lineRule="exact"/>
        <w:ind w:firstLine="1440" w:firstLineChars="400"/>
        <w:jc w:val="left"/>
        <w:rPr>
          <w:rFonts w:hint="eastAsia" w:ascii="Times New Roman" w:hAnsi="Times New Roman" w:eastAsia="仿宋_GB2312" w:cs="Times New Roman"/>
          <w:color w:val="auto"/>
          <w:kern w:val="0"/>
          <w:sz w:val="36"/>
          <w:szCs w:val="36"/>
          <w:highlight w:val="none"/>
          <w:lang w:eastAsia="zh-CN"/>
        </w:rPr>
      </w:pPr>
      <w:r>
        <w:rPr>
          <w:rFonts w:hint="default" w:ascii="Times New Roman" w:hAnsi="Times New Roman" w:eastAsia="仿宋_GB2312" w:cs="Times New Roman"/>
          <w:color w:val="auto"/>
          <w:kern w:val="0"/>
          <w:sz w:val="36"/>
          <w:szCs w:val="36"/>
          <w:highlight w:val="none"/>
        </w:rPr>
        <w:t>主管部门（公章）：</w:t>
      </w:r>
      <w:r>
        <w:rPr>
          <w:rFonts w:hint="eastAsia" w:eastAsia="仿宋_GB2312" w:cs="Times New Roman"/>
          <w:color w:val="auto"/>
          <w:kern w:val="0"/>
          <w:sz w:val="36"/>
          <w:szCs w:val="36"/>
          <w:highlight w:val="none"/>
          <w:lang w:eastAsia="zh-CN"/>
        </w:rPr>
        <w:t>库尔勒市退役军人事务局</w:t>
      </w:r>
    </w:p>
    <w:p>
      <w:pPr>
        <w:spacing w:line="700" w:lineRule="exact"/>
        <w:ind w:firstLine="1440" w:firstLineChars="400"/>
        <w:jc w:val="left"/>
        <w:rPr>
          <w:rFonts w:hint="eastAsia" w:eastAsia="仿宋_GB2312" w:cs="Times New Roman"/>
          <w:color w:val="auto"/>
          <w:kern w:val="0"/>
          <w:sz w:val="36"/>
          <w:szCs w:val="36"/>
          <w:highlight w:val="none"/>
          <w:lang w:val="en-US" w:eastAsia="zh-CN"/>
        </w:rPr>
      </w:pPr>
      <w:r>
        <w:rPr>
          <w:rFonts w:hint="default" w:ascii="Times New Roman" w:hAnsi="Times New Roman" w:eastAsia="仿宋_GB2312" w:cs="Times New Roman"/>
          <w:color w:val="auto"/>
          <w:kern w:val="0"/>
          <w:sz w:val="36"/>
          <w:szCs w:val="36"/>
          <w:highlight w:val="none"/>
        </w:rPr>
        <w:t>项目负责人（签章）：</w:t>
      </w:r>
      <w:r>
        <w:rPr>
          <w:rFonts w:hint="eastAsia" w:eastAsia="仿宋_GB2312" w:cs="Times New Roman"/>
          <w:color w:val="auto"/>
          <w:kern w:val="0"/>
          <w:sz w:val="36"/>
          <w:szCs w:val="36"/>
          <w:highlight w:val="none"/>
          <w:lang w:eastAsia="zh-CN"/>
        </w:rPr>
        <w:t>木合塔尔</w:t>
      </w:r>
      <w:r>
        <w:rPr>
          <w:rFonts w:hint="eastAsia" w:eastAsia="仿宋_GB2312" w:cs="Times New Roman"/>
          <w:color w:val="auto"/>
          <w:kern w:val="0"/>
          <w:sz w:val="36"/>
          <w:szCs w:val="36"/>
          <w:highlight w:val="none"/>
          <w:lang w:val="en-US" w:eastAsia="zh-CN"/>
        </w:rPr>
        <w:t>·牙合甫</w:t>
      </w:r>
    </w:p>
    <w:p>
      <w:pPr>
        <w:spacing w:line="700" w:lineRule="exact"/>
        <w:ind w:firstLine="1440" w:firstLineChars="400"/>
        <w:jc w:val="left"/>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填报时间：</w:t>
      </w:r>
      <w:r>
        <w:rPr>
          <w:rFonts w:hint="eastAsia" w:eastAsia="仿宋_GB2312" w:cs="Times New Roman"/>
          <w:color w:val="auto"/>
          <w:kern w:val="0"/>
          <w:sz w:val="36"/>
          <w:szCs w:val="36"/>
          <w:highlight w:val="none"/>
          <w:lang w:val="en-US" w:eastAsia="zh-CN"/>
        </w:rPr>
        <w:t>2025</w:t>
      </w:r>
      <w:r>
        <w:rPr>
          <w:rFonts w:hint="default" w:ascii="Times New Roman" w:hAnsi="Times New Roman" w:eastAsia="仿宋_GB2312" w:cs="Times New Roman"/>
          <w:color w:val="auto"/>
          <w:kern w:val="0"/>
          <w:sz w:val="36"/>
          <w:szCs w:val="36"/>
          <w:highlight w:val="none"/>
        </w:rPr>
        <w:t>年</w:t>
      </w:r>
      <w:r>
        <w:rPr>
          <w:rFonts w:hint="eastAsia" w:eastAsia="仿宋_GB2312" w:cs="Times New Roman"/>
          <w:color w:val="auto"/>
          <w:kern w:val="0"/>
          <w:sz w:val="36"/>
          <w:szCs w:val="36"/>
          <w:highlight w:val="none"/>
          <w:lang w:val="en-US" w:eastAsia="zh-CN"/>
        </w:rPr>
        <w:t>4</w:t>
      </w:r>
      <w:r>
        <w:rPr>
          <w:rFonts w:hint="default" w:ascii="Times New Roman" w:hAnsi="Times New Roman" w:eastAsia="仿宋_GB2312" w:cs="Times New Roman"/>
          <w:color w:val="auto"/>
          <w:kern w:val="0"/>
          <w:sz w:val="36"/>
          <w:szCs w:val="36"/>
          <w:highlight w:val="none"/>
        </w:rPr>
        <w:t>月</w:t>
      </w:r>
      <w:r>
        <w:rPr>
          <w:rFonts w:hint="eastAsia" w:eastAsia="仿宋_GB2312" w:cs="Times New Roman"/>
          <w:color w:val="auto"/>
          <w:kern w:val="0"/>
          <w:sz w:val="36"/>
          <w:szCs w:val="36"/>
          <w:highlight w:val="none"/>
          <w:lang w:val="en-US" w:eastAsia="zh-CN"/>
        </w:rPr>
        <w:t>11</w:t>
      </w:r>
      <w:r>
        <w:rPr>
          <w:rFonts w:hint="default" w:ascii="Times New Roman" w:hAnsi="Times New Roman" w:eastAsia="仿宋_GB2312" w:cs="Times New Roman"/>
          <w:color w:val="auto"/>
          <w:kern w:val="0"/>
          <w:sz w:val="36"/>
          <w:szCs w:val="36"/>
          <w:highlight w:val="none"/>
        </w:rPr>
        <w:t>日</w:t>
      </w:r>
    </w:p>
    <w:p>
      <w:pPr>
        <w:spacing w:line="540" w:lineRule="exact"/>
        <w:rPr>
          <w:rStyle w:val="16"/>
          <w:rFonts w:hint="default" w:ascii="Times New Roman" w:hAnsi="Times New Roman" w:eastAsia="黑体" w:cs="Times New Roman"/>
          <w:b w:val="0"/>
          <w:color w:val="auto"/>
          <w:spacing w:val="-4"/>
          <w:sz w:val="32"/>
          <w:szCs w:val="32"/>
          <w:highlight w:val="none"/>
        </w:rPr>
      </w:pPr>
    </w:p>
    <w:p>
      <w:pPr>
        <w:spacing w:line="540" w:lineRule="exact"/>
        <w:rPr>
          <w:rStyle w:val="16"/>
          <w:rFonts w:hint="default" w:ascii="Times New Roman" w:hAnsi="Times New Roman" w:eastAsia="黑体" w:cs="Times New Roman"/>
          <w:b w:val="0"/>
          <w:color w:val="auto"/>
          <w:spacing w:val="-4"/>
          <w:sz w:val="32"/>
          <w:szCs w:val="32"/>
          <w:highlight w:val="none"/>
        </w:rPr>
      </w:pPr>
    </w:p>
    <w:p>
      <w:pPr>
        <w:spacing w:line="560" w:lineRule="exact"/>
        <w:ind w:firstLine="640" w:firstLineChars="200"/>
        <w:rPr>
          <w:rFonts w:hint="default" w:ascii="Times New Roman" w:hAnsi="Times New Roman" w:eastAsia="黑体" w:cs="Times New Roman"/>
          <w:bCs/>
          <w:color w:val="auto"/>
          <w:sz w:val="32"/>
          <w:szCs w:val="32"/>
          <w:highlight w:val="none"/>
        </w:rPr>
        <w:sectPr>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一、基本情况</w:t>
      </w:r>
    </w:p>
    <w:p>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（一）项目概况</w:t>
      </w:r>
    </w:p>
    <w:p>
      <w:pPr>
        <w:spacing w:line="560" w:lineRule="exact"/>
        <w:ind w:firstLine="643" w:firstLineChars="200"/>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rPr>
        <w:t>项目背景</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社会优抚是由国家和政府出面对有特殊贡献的人员实行的一种保障制度。国家通过优抚工作使军队在保护国家、维护和平、创造和谐安定的社会环境中充分发挥作用，从而有利于经济和社会的发展。国家通过优抚工作，可以增强军队实力，融洽军政、军民关系，使军队在和平时期直接参与地方建设，为社会经济发展作出贡献。</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为有效保障各类优抚对象和老党员抚恤生活补助政策得到全面落实，维护优抚对象的合法权益，根据《中华人民共和国</w:t>
      </w:r>
      <w:r>
        <w:rPr>
          <w:rFonts w:hint="eastAsia" w:eastAsia="仿宋_GB2312" w:cs="Times New Roman"/>
          <w:color w:val="auto"/>
          <w:kern w:val="2"/>
          <w:sz w:val="32"/>
          <w:szCs w:val="32"/>
          <w:highlight w:val="none"/>
          <w:lang w:val="en-US" w:eastAsia="zh-CN" w:bidi="ar-SA"/>
        </w:rPr>
        <w:t>退役军人保障法</w:t>
      </w:r>
      <w:r>
        <w:rPr>
          <w:rFonts w:hint="eastAsia" w:ascii="Times New Roman" w:hAnsi="Times New Roman" w:eastAsia="仿宋_GB2312" w:cs="Times New Roman"/>
          <w:color w:val="auto"/>
          <w:kern w:val="2"/>
          <w:sz w:val="32"/>
          <w:szCs w:val="32"/>
          <w:highlight w:val="none"/>
          <w:lang w:val="en-US" w:eastAsia="zh-CN" w:bidi="ar-SA"/>
        </w:rPr>
        <w:t>》《军人抚恤优待条例》《烈士褒扬条例》《优抚对象补助经费管理办法》等法律法规及政策要求，库尔勒市退役军人事务局实施</w:t>
      </w:r>
      <w:r>
        <w:rPr>
          <w:rFonts w:hint="eastAsia" w:eastAsia="仿宋_GB2312" w:cs="Times New Roman"/>
          <w:color w:val="auto"/>
          <w:kern w:val="2"/>
          <w:sz w:val="32"/>
          <w:szCs w:val="32"/>
          <w:highlight w:val="none"/>
          <w:lang w:val="en-US" w:eastAsia="zh-CN" w:bidi="ar-SA"/>
        </w:rPr>
        <w:t>本</w:t>
      </w:r>
      <w:r>
        <w:rPr>
          <w:rFonts w:hint="eastAsia" w:ascii="Times New Roman" w:hAnsi="Times New Roman" w:eastAsia="仿宋_GB2312" w:cs="Times New Roman"/>
          <w:color w:val="auto"/>
          <w:kern w:val="2"/>
          <w:sz w:val="32"/>
          <w:szCs w:val="32"/>
          <w:highlight w:val="none"/>
          <w:lang w:val="en-US" w:eastAsia="zh-CN" w:bidi="ar-SA"/>
        </w:rPr>
        <w:t>项目。</w:t>
      </w:r>
    </w:p>
    <w:p>
      <w:pPr>
        <w:pStyle w:val="10"/>
        <w:numPr>
          <w:ilvl w:val="0"/>
          <w:numId w:val="0"/>
        </w:numPr>
        <w:spacing w:before="0" w:after="0" w:line="560" w:lineRule="exact"/>
        <w:ind w:firstLine="643" w:firstLineChars="200"/>
        <w:jc w:val="both"/>
        <w:rPr>
          <w:rFonts w:hint="default" w:ascii="Times New Roman" w:hAnsi="Times New Roman" w:eastAsia="仿宋_GB2312" w:cs="Times New Roman"/>
          <w:color w:val="auto"/>
          <w:kern w:val="2"/>
          <w:highlight w:val="none"/>
        </w:rPr>
      </w:pPr>
      <w:r>
        <w:rPr>
          <w:rFonts w:hint="default" w:ascii="Times New Roman" w:hAnsi="Times New Roman" w:eastAsia="仿宋_GB2312" w:cs="Times New Roman"/>
          <w:color w:val="auto"/>
          <w:kern w:val="2"/>
          <w:highlight w:val="none"/>
          <w:lang w:val="en-US" w:eastAsia="zh-CN"/>
        </w:rPr>
        <w:t>2.</w:t>
      </w:r>
      <w:r>
        <w:rPr>
          <w:rFonts w:hint="default" w:ascii="Times New Roman" w:hAnsi="Times New Roman" w:eastAsia="仿宋_GB2312" w:cs="Times New Roman"/>
          <w:color w:val="auto"/>
          <w:kern w:val="2"/>
          <w:highlight w:val="none"/>
        </w:rPr>
        <w:t>项目主要内容：</w:t>
      </w:r>
    </w:p>
    <w:p>
      <w:pPr>
        <w:spacing w:line="560" w:lineRule="exact"/>
        <w:ind w:firstLine="600" w:firstLineChars="200"/>
        <w:rPr>
          <w:rFonts w:hint="default" w:ascii="Times New Roman" w:hAnsi="Times New Roman" w:eastAsia="黑体" w:cs="Times New Roman"/>
          <w:color w:val="auto"/>
          <w:highlight w:val="none"/>
          <w:lang w:eastAsia="zh-CN"/>
        </w:rPr>
      </w:pPr>
      <w:r>
        <w:rPr>
          <w:rFonts w:hint="default" w:ascii="Times New Roman" w:hAnsi="Times New Roman" w:eastAsia="仿宋_GB2312" w:cs="Times New Roman"/>
          <w:color w:val="auto"/>
          <w:sz w:val="30"/>
          <w:szCs w:val="30"/>
          <w:highlight w:val="none"/>
          <w:lang w:val="en-US" w:eastAsia="zh-CN"/>
        </w:rPr>
        <w:t>项目主要内容：</w:t>
      </w:r>
      <w:r>
        <w:rPr>
          <w:rFonts w:hint="eastAsia" w:ascii="仿宋_GB2312" w:hAnsi="Times New Roman" w:eastAsia="仿宋_GB2312" w:cs="Times New Roman"/>
          <w:color w:val="auto"/>
          <w:kern w:val="2"/>
          <w:sz w:val="30"/>
          <w:szCs w:val="30"/>
          <w:highlight w:val="none"/>
          <w:lang w:val="en-US" w:eastAsia="zh-CN" w:bidi="ar-SA"/>
        </w:rPr>
        <w:t>对不少于</w:t>
      </w:r>
      <w:r>
        <w:rPr>
          <w:rFonts w:hint="eastAsia" w:ascii="仿宋_GB2312" w:eastAsia="仿宋_GB2312" w:cs="Times New Roman"/>
          <w:color w:val="auto"/>
          <w:kern w:val="2"/>
          <w:sz w:val="30"/>
          <w:szCs w:val="30"/>
          <w:highlight w:val="none"/>
          <w:lang w:val="en-US" w:eastAsia="zh-CN" w:bidi="ar-SA"/>
        </w:rPr>
        <w:t>818</w:t>
      </w:r>
      <w:r>
        <w:rPr>
          <w:rFonts w:hint="eastAsia" w:ascii="仿宋_GB2312" w:hAnsi="Times New Roman" w:eastAsia="仿宋_GB2312" w:cs="Times New Roman"/>
          <w:color w:val="auto"/>
          <w:kern w:val="2"/>
          <w:sz w:val="30"/>
          <w:szCs w:val="30"/>
          <w:highlight w:val="none"/>
          <w:lang w:val="en-US" w:eastAsia="zh-CN" w:bidi="ar-SA"/>
        </w:rPr>
        <w:t>名优抚对象发放202</w:t>
      </w:r>
      <w:r>
        <w:rPr>
          <w:rFonts w:hint="eastAsia" w:ascii="仿宋_GB2312" w:eastAsia="仿宋_GB2312" w:cs="Times New Roman"/>
          <w:color w:val="auto"/>
          <w:kern w:val="2"/>
          <w:sz w:val="30"/>
          <w:szCs w:val="30"/>
          <w:highlight w:val="none"/>
          <w:lang w:val="en-US" w:eastAsia="zh-CN" w:bidi="ar-SA"/>
        </w:rPr>
        <w:t>4</w:t>
      </w:r>
      <w:r>
        <w:rPr>
          <w:rFonts w:hint="eastAsia" w:ascii="仿宋_GB2312" w:hAnsi="Times New Roman" w:eastAsia="仿宋_GB2312" w:cs="Times New Roman"/>
          <w:color w:val="auto"/>
          <w:kern w:val="2"/>
          <w:sz w:val="30"/>
          <w:szCs w:val="30"/>
          <w:highlight w:val="none"/>
          <w:lang w:val="en-US" w:eastAsia="zh-CN" w:bidi="ar-SA"/>
        </w:rPr>
        <w:t>年的补助资金，保障优抚对象的生活水平不低于当地居民的平均生活水平，解决优抚对象生活难的问题。促进社会公平，切实维护好优抚对象的生活权益，为我们的优抚对象提供服务和帮助，充分发挥拥军优属的光荣传统。</w:t>
      </w:r>
    </w:p>
    <w:p>
      <w:pPr>
        <w:spacing w:line="560" w:lineRule="exact"/>
        <w:ind w:firstLine="640" w:firstLineChars="200"/>
        <w:rPr>
          <w:rFonts w:hint="default" w:ascii="仿宋_GB2312" w:hAnsi="Times New Roman" w:eastAsia="仿宋_GB2312" w:cs="Times New Roman"/>
          <w:color w:val="auto"/>
          <w:kern w:val="2"/>
          <w:sz w:val="30"/>
          <w:szCs w:val="30"/>
          <w:highlight w:val="none"/>
          <w:lang w:val="en-US" w:eastAsia="zh-CN" w:bidi="ar-SA"/>
        </w:rPr>
      </w:pPr>
      <w:r>
        <w:rPr>
          <w:rFonts w:hint="default" w:ascii="Times New Roman" w:hAnsi="Times New Roman" w:eastAsia="仿宋_GB2312" w:cs="Times New Roman"/>
          <w:color w:val="auto"/>
          <w:sz w:val="32"/>
          <w:szCs w:val="32"/>
          <w:highlight w:val="none"/>
        </w:rPr>
        <w:t>项目实施情况：</w:t>
      </w:r>
      <w:r>
        <w:rPr>
          <w:rFonts w:hint="eastAsia" w:ascii="仿宋_GB2312" w:eastAsia="仿宋_GB2312" w:cs="Times New Roman"/>
          <w:color w:val="auto"/>
          <w:kern w:val="2"/>
          <w:sz w:val="30"/>
          <w:szCs w:val="30"/>
          <w:highlight w:val="none"/>
          <w:lang w:val="en-US" w:eastAsia="zh-CN" w:bidi="ar-SA"/>
        </w:rPr>
        <w:t>完成</w:t>
      </w:r>
      <w:r>
        <w:rPr>
          <w:rFonts w:hint="default" w:ascii="仿宋_GB2312" w:hAnsi="Times New Roman" w:eastAsia="仿宋_GB2312" w:cs="Times New Roman"/>
          <w:color w:val="auto"/>
          <w:kern w:val="2"/>
          <w:sz w:val="30"/>
          <w:szCs w:val="30"/>
          <w:highlight w:val="none"/>
          <w:lang w:val="en-US" w:eastAsia="zh-CN" w:bidi="ar-SA"/>
        </w:rPr>
        <w:t>为824名优抚对象发放生活补助资金，保障优抚对象生活得到了有效改善</w:t>
      </w:r>
      <w:r>
        <w:rPr>
          <w:rFonts w:hint="eastAsia" w:ascii="仿宋_GB2312" w:eastAsia="仿宋_GB2312" w:cs="Times New Roman"/>
          <w:color w:val="auto"/>
          <w:kern w:val="2"/>
          <w:sz w:val="30"/>
          <w:szCs w:val="30"/>
          <w:highlight w:val="none"/>
          <w:lang w:val="en-US" w:eastAsia="zh-CN" w:bidi="ar-SA"/>
        </w:rPr>
        <w:t>，维护了社会稳定和军民团结。</w:t>
      </w:r>
    </w:p>
    <w:p>
      <w:pPr>
        <w:spacing w:line="560" w:lineRule="exact"/>
        <w:ind w:firstLine="643" w:firstLineChars="200"/>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3</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rPr>
        <w:t>资金投入和使用情况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1093.2</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1093.2</w:t>
      </w:r>
      <w:r>
        <w:rPr>
          <w:rFonts w:hint="default" w:ascii="Times New Roman" w:hAnsi="Times New Roman" w:eastAsia="仿宋_GB2312" w:cs="Times New Roman"/>
          <w:color w:val="auto"/>
          <w:sz w:val="32"/>
          <w:szCs w:val="32"/>
          <w:highlight w:val="none"/>
          <w:lang w:val="en-US" w:eastAsia="zh-CN"/>
        </w:rPr>
        <w:t>万元，该项目资金已全部落实到位，资金来源为</w:t>
      </w:r>
      <w:r>
        <w:rPr>
          <w:rFonts w:hint="eastAsia" w:eastAsia="仿宋_GB2312" w:cs="Times New Roman"/>
          <w:color w:val="auto"/>
          <w:sz w:val="32"/>
          <w:szCs w:val="32"/>
          <w:highlight w:val="none"/>
          <w:lang w:val="en-US" w:eastAsia="zh-CN"/>
        </w:rPr>
        <w:t>财政拨款资金</w:t>
      </w:r>
      <w:r>
        <w:rPr>
          <w:rFonts w:hint="default" w:ascii="Times New Roman" w:hAnsi="Times New Roman" w:eastAsia="仿宋_GB2312" w:cs="Times New Roman"/>
          <w:color w:val="auto"/>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（2）资金使用情况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ascii="Times New Roman" w:hAnsi="Times New Roman" w:eastAsia="仿宋_GB2312" w:cs="Times New Roman"/>
          <w:color w:val="auto"/>
          <w:sz w:val="32"/>
          <w:szCs w:val="32"/>
          <w:highlight w:val="none"/>
          <w:lang w:val="en-US" w:eastAsia="zh-CN"/>
        </w:rPr>
        <w:t>1093.2</w:t>
      </w:r>
      <w:r>
        <w:rPr>
          <w:rFonts w:hint="default" w:ascii="Times New Roman" w:hAnsi="Times New Roman" w:eastAsia="仿宋_GB2312" w:cs="Times New Roman"/>
          <w:color w:val="auto"/>
          <w:sz w:val="32"/>
          <w:szCs w:val="32"/>
          <w:highlight w:val="none"/>
          <w:lang w:val="en-US" w:eastAsia="zh-CN"/>
        </w:rPr>
        <w:t>万元，全年预算数</w:t>
      </w:r>
      <w:r>
        <w:rPr>
          <w:rFonts w:hint="eastAsia" w:ascii="Times New Roman" w:hAnsi="Times New Roman" w:eastAsia="仿宋_GB2312" w:cs="Times New Roman"/>
          <w:color w:val="auto"/>
          <w:sz w:val="32"/>
          <w:szCs w:val="32"/>
          <w:highlight w:val="none"/>
          <w:lang w:val="en-US" w:eastAsia="zh-CN"/>
        </w:rPr>
        <w:t>1093.2</w:t>
      </w:r>
      <w:r>
        <w:rPr>
          <w:rFonts w:hint="default"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全年执行数</w:t>
      </w:r>
      <w:r>
        <w:rPr>
          <w:rFonts w:hint="eastAsia" w:ascii="Times New Roman" w:hAnsi="Times New Roman" w:eastAsia="仿宋_GB2312" w:cs="Times New Roman"/>
          <w:color w:val="auto"/>
          <w:sz w:val="32"/>
          <w:szCs w:val="32"/>
          <w:highlight w:val="none"/>
          <w:lang w:val="en-US" w:eastAsia="zh-CN"/>
        </w:rPr>
        <w:t>1093.2</w:t>
      </w:r>
      <w:r>
        <w:rPr>
          <w:rFonts w:hint="default" w:ascii="Times New Roman" w:hAnsi="Times New Roman" w:eastAsia="仿宋_GB2312" w:cs="Times New Roman"/>
          <w:color w:val="auto"/>
          <w:sz w:val="32"/>
          <w:szCs w:val="32"/>
          <w:highlight w:val="none"/>
          <w:lang w:val="en-US" w:eastAsia="zh-CN"/>
        </w:rPr>
        <w:t>万元，预算执行率为</w:t>
      </w:r>
      <w:r>
        <w:rPr>
          <w:rFonts w:hint="eastAsia"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%，主要用于：</w:t>
      </w:r>
      <w:r>
        <w:rPr>
          <w:rFonts w:hint="eastAsia" w:ascii="Times New Roman" w:hAnsi="Times New Roman" w:eastAsia="仿宋_GB2312" w:cs="Times New Roman"/>
          <w:color w:val="auto"/>
          <w:sz w:val="32"/>
          <w:szCs w:val="32"/>
          <w:highlight w:val="none"/>
          <w:lang w:val="en-US" w:eastAsia="zh-CN"/>
        </w:rPr>
        <w:t>按月为824名优抚对象发放生活补助，人均年补助标准为13266.99元/人，覆盖伤残抚恤、在乡老复员军人生活补助、年满60周岁农村籍退役士兵生活补助、病故军人遗属生活补助、带病回乡伍军人生活补助等</w:t>
      </w:r>
      <w:r>
        <w:rPr>
          <w:rFonts w:hint="default" w:ascii="Times New Roman" w:hAnsi="Times New Roman" w:eastAsia="仿宋_GB2312" w:cs="Times New Roman"/>
          <w:color w:val="auto"/>
          <w:sz w:val="32"/>
          <w:szCs w:val="32"/>
          <w:highlight w:val="none"/>
          <w:lang w:val="en-US" w:eastAsia="zh-CN"/>
        </w:rPr>
        <w:t>。</w:t>
      </w:r>
    </w:p>
    <w:p>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（二）项目绩效目标</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总体目标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目标1：为818名优抚对象发放生活补助资金；</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目标2：通过发放优抚对象生活补助，保障优抚对象生活得到有效改善。</w:t>
      </w:r>
    </w:p>
    <w:p>
      <w:pPr>
        <w:spacing w:line="560" w:lineRule="exact"/>
        <w:ind w:firstLine="640" w:firstLineChars="200"/>
        <w:rPr>
          <w:rFonts w:hint="default" w:ascii="Times New Roman" w:hAnsi="Times New Roman" w:eastAsia="仿宋_GB2312" w:cs="Times New Roman"/>
          <w:color w:val="auto"/>
          <w:sz w:val="30"/>
          <w:szCs w:val="30"/>
          <w:highlight w:val="none"/>
          <w:lang w:val="en-US" w:eastAsia="zh-CN"/>
        </w:rPr>
      </w:pPr>
      <w:r>
        <w:rPr>
          <w:rFonts w:hint="default" w:ascii="Times New Roman" w:hAnsi="Times New Roman" w:eastAsia="仿宋_GB2312" w:cs="Times New Roman"/>
          <w:color w:val="auto"/>
          <w:sz w:val="32"/>
          <w:szCs w:val="32"/>
          <w:highlight w:val="none"/>
        </w:rPr>
        <w:t>2</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阶段性目标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计划按月为</w:t>
      </w:r>
      <w:r>
        <w:rPr>
          <w:rFonts w:hint="default" w:ascii="Times New Roman" w:hAnsi="Times New Roman" w:eastAsia="仿宋_GB2312" w:cs="Times New Roman"/>
          <w:color w:val="auto"/>
          <w:sz w:val="32"/>
          <w:szCs w:val="32"/>
          <w:highlight w:val="none"/>
          <w:lang w:val="en-US" w:eastAsia="zh-CN"/>
        </w:rPr>
        <w:t>818名优抚对象发放生活补助资金</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通过</w:t>
      </w:r>
      <w:r>
        <w:rPr>
          <w:rFonts w:hint="eastAsia" w:eastAsia="仿宋_GB2312" w:cs="Times New Roman"/>
          <w:color w:val="auto"/>
          <w:sz w:val="32"/>
          <w:szCs w:val="32"/>
          <w:highlight w:val="none"/>
          <w:lang w:val="en-US" w:eastAsia="zh-CN"/>
        </w:rPr>
        <w:t>惠民惠农“一卡通”系统进行发放</w:t>
      </w:r>
      <w:r>
        <w:rPr>
          <w:rFonts w:hint="default"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确保资金直达个人账户</w:t>
      </w:r>
      <w:r>
        <w:rPr>
          <w:rFonts w:hint="default" w:ascii="Times New Roman" w:hAnsi="Times New Roman" w:eastAsia="仿宋_GB2312" w:cs="Times New Roman"/>
          <w:color w:val="auto"/>
          <w:sz w:val="32"/>
          <w:szCs w:val="32"/>
          <w:highlight w:val="none"/>
          <w:lang w:val="en-US" w:eastAsia="zh-CN"/>
        </w:rPr>
        <w:t>。</w:t>
      </w:r>
    </w:p>
    <w:p>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二、绩效评价工作开展情况</w:t>
      </w:r>
    </w:p>
    <w:p>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（一）绩效评价目的、对象和范围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val="en-US" w:eastAsia="zh-CN"/>
        </w:rPr>
      </w:pPr>
      <w:r>
        <w:rPr>
          <w:rFonts w:hint="default" w:ascii="Times New Roman" w:hAnsi="Times New Roman" w:eastAsia="仿宋_GB2312" w:cs="Times New Roman"/>
          <w:b w:val="0"/>
          <w:bCs w:val="0"/>
          <w:color w:val="auto"/>
          <w:highlight w:val="none"/>
          <w:lang w:val="en-US" w:eastAsia="zh-CN"/>
        </w:rPr>
        <w:t>1.绩效评价完整性</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在评价指标体系的构建上，充分考虑了项目的性质、目标以及预期成果，选取了社会效益</w:t>
      </w:r>
      <w:r>
        <w:rPr>
          <w:rFonts w:hint="eastAsia" w:eastAsia="仿宋_GB2312" w:cs="Times New Roman"/>
          <w:color w:val="auto"/>
          <w:sz w:val="32"/>
          <w:szCs w:val="32"/>
          <w:highlight w:val="none"/>
          <w:lang w:val="en-US" w:eastAsia="zh-CN"/>
        </w:rPr>
        <w:t>指标</w:t>
      </w:r>
      <w:r>
        <w:rPr>
          <w:rFonts w:hint="default" w:ascii="Times New Roman" w:hAnsi="Times New Roman" w:eastAsia="仿宋_GB2312" w:cs="Times New Roman"/>
          <w:color w:val="auto"/>
          <w:sz w:val="32"/>
          <w:szCs w:val="32"/>
          <w:highlight w:val="none"/>
          <w:lang w:val="en-US" w:eastAsia="zh-CN"/>
        </w:rPr>
        <w:t>，对指标的评价标准和数据来源均进行了明确说明，确保评价结果的客观性和可追溯性。</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在数据收集与分析环节，采用了问卷调查</w:t>
      </w:r>
      <w:r>
        <w:rPr>
          <w:rFonts w:hint="eastAsia" w:eastAsia="仿宋_GB2312" w:cs="Times New Roman"/>
          <w:color w:val="auto"/>
          <w:sz w:val="32"/>
          <w:szCs w:val="32"/>
          <w:highlight w:val="none"/>
          <w:lang w:val="en-US" w:eastAsia="zh-CN"/>
        </w:rPr>
        <w:t>的方法</w:t>
      </w:r>
      <w:r>
        <w:rPr>
          <w:rFonts w:hint="default" w:ascii="Times New Roman" w:hAnsi="Times New Roman" w:eastAsia="仿宋_GB2312" w:cs="Times New Roman"/>
          <w:color w:val="auto"/>
          <w:sz w:val="32"/>
          <w:szCs w:val="32"/>
          <w:highlight w:val="none"/>
          <w:lang w:val="en-US" w:eastAsia="zh-CN"/>
        </w:rPr>
        <w:t>，广泛收集了与项目相关的各类数据，以确保评价结论的科学性和可靠性。此外，还对数据的质量和完整性进行了严格把控，保证了评价数据的真实性和有效性。</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w:t>
      </w:r>
      <w:r>
        <w:rPr>
          <w:rFonts w:hint="eastAsia"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val="en-US" w:eastAsia="zh-CN"/>
        </w:rPr>
        <w:t>将继续完善绩效评价体系，不断提升评价工作的质量和水平，以更好地服务于项目的管理和优化。</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w:t>
      </w:r>
      <w:r>
        <w:rPr>
          <w:rFonts w:hint="eastAsia" w:eastAsia="仿宋_GB2312" w:cs="Times New Roman"/>
          <w:color w:val="auto"/>
          <w:sz w:val="32"/>
          <w:szCs w:val="32"/>
          <w:highlight w:val="none"/>
          <w:lang w:eastAsia="zh-CN"/>
        </w:rPr>
        <w:t>以及</w:t>
      </w:r>
      <w:r>
        <w:rPr>
          <w:rFonts w:hint="default" w:ascii="Times New Roman" w:hAnsi="Times New Roman" w:eastAsia="仿宋_GB2312" w:cs="Times New Roman"/>
          <w:color w:val="auto"/>
          <w:sz w:val="32"/>
          <w:szCs w:val="32"/>
          <w:highlight w:val="none"/>
          <w:lang w:val="en-US" w:eastAsia="zh-CN"/>
        </w:rPr>
        <w:t>社会效益</w:t>
      </w: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eastAsia="zh-CN"/>
        </w:rPr>
        <w:t>在内的</w:t>
      </w:r>
      <w:r>
        <w:rPr>
          <w:rFonts w:hint="default" w:ascii="Times New Roman" w:hAnsi="Times New Roman" w:eastAsia="仿宋_GB2312" w:cs="Times New Roman"/>
          <w:color w:val="auto"/>
          <w:sz w:val="32"/>
          <w:szCs w:val="32"/>
          <w:highlight w:val="none"/>
        </w:rPr>
        <w:t>各项绩效目标达成程度的系统性分析，全面、客观地评估项目在预定周期内的实施效果，为项目后续的改进与优化提供科学依据。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val="en-US" w:eastAsia="zh-CN"/>
        </w:rPr>
        <w:t>3</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绩效评价的对象</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本项目预算绩效评价报告的评价对象是巴财社[2023]59号 提前下达2024年中央财政优抚对象补助经费预算[第一批]的通知及其预算执行情况。该项目由</w:t>
      </w:r>
      <w:r>
        <w:rPr>
          <w:rFonts w:hint="eastAsia" w:ascii="Times New Roman" w:hAnsi="Times New Roman" w:eastAsia="仿宋_GB2312" w:cs="Times New Roman"/>
          <w:b w:val="0"/>
          <w:bCs w:val="0"/>
          <w:color w:val="auto"/>
          <w:highlight w:val="none"/>
          <w:lang w:eastAsia="zh-CN"/>
        </w:rPr>
        <w:t>库尔勒市退役军人事务局</w:t>
      </w:r>
      <w:r>
        <w:rPr>
          <w:rFonts w:hint="default" w:ascii="Times New Roman" w:hAnsi="Times New Roman" w:eastAsia="仿宋_GB2312" w:cs="Times New Roman"/>
          <w:b w:val="0"/>
          <w:bCs w:val="0"/>
          <w:color w:val="auto"/>
          <w:highlight w:val="none"/>
        </w:rPr>
        <w:t>负责实施，旨通过发放优抚对象生活补助，保障优抚对象生活得到有效改善。项目预算涵盖从</w:t>
      </w:r>
      <w:r>
        <w:rPr>
          <w:rFonts w:hint="eastAsia" w:ascii="Times New Roman" w:hAnsi="Times New Roman" w:eastAsia="仿宋_GB2312" w:cs="Times New Roman"/>
          <w:b w:val="0"/>
          <w:bCs w:val="0"/>
          <w:color w:val="auto"/>
          <w:highlight w:val="none"/>
          <w:lang w:val="en-US" w:eastAsia="zh-CN"/>
        </w:rPr>
        <w:t>2024年1月1日</w:t>
      </w:r>
      <w:r>
        <w:rPr>
          <w:rFonts w:hint="default" w:ascii="Times New Roman" w:hAnsi="Times New Roman" w:eastAsia="仿宋_GB2312" w:cs="Times New Roman"/>
          <w:b w:val="0"/>
          <w:bCs w:val="0"/>
          <w:color w:val="auto"/>
          <w:highlight w:val="none"/>
        </w:rPr>
        <w:t>至</w:t>
      </w:r>
      <w:r>
        <w:rPr>
          <w:rFonts w:hint="eastAsia" w:ascii="Times New Roman" w:hAnsi="Times New Roman" w:eastAsia="仿宋_GB2312" w:cs="Times New Roman"/>
          <w:b w:val="0"/>
          <w:bCs w:val="0"/>
          <w:color w:val="auto"/>
          <w:highlight w:val="none"/>
          <w:lang w:val="en-US" w:eastAsia="zh-CN"/>
        </w:rPr>
        <w:t>2024年12月31日</w:t>
      </w:r>
      <w:r>
        <w:rPr>
          <w:rFonts w:hint="default" w:ascii="Times New Roman" w:hAnsi="Times New Roman" w:eastAsia="仿宋_GB2312" w:cs="Times New Roman"/>
          <w:b w:val="0"/>
          <w:bCs w:val="0"/>
          <w:color w:val="auto"/>
          <w:highlight w:val="none"/>
        </w:rPr>
        <w:t>的全部资金投入与支出，涉及资金总额为</w:t>
      </w:r>
      <w:r>
        <w:rPr>
          <w:rFonts w:hint="eastAsia" w:ascii="Times New Roman" w:hAnsi="Times New Roman" w:eastAsia="仿宋_GB2312" w:cs="Times New Roman"/>
          <w:b w:val="0"/>
          <w:bCs w:val="0"/>
          <w:color w:val="auto"/>
          <w:highlight w:val="none"/>
          <w:lang w:val="en-US" w:eastAsia="zh-CN"/>
        </w:rPr>
        <w:t>1093.2</w:t>
      </w:r>
      <w:r>
        <w:rPr>
          <w:rFonts w:hint="default" w:ascii="Times New Roman" w:hAnsi="Times New Roman" w:eastAsia="仿宋_GB2312" w:cs="Times New Roman"/>
          <w:b w:val="0"/>
          <w:bCs w:val="0"/>
          <w:color w:val="auto"/>
          <w:highlight w:val="none"/>
          <w:lang w:val="en-US" w:eastAsia="zh-CN"/>
        </w:rPr>
        <w:t>万</w:t>
      </w:r>
      <w:r>
        <w:rPr>
          <w:rFonts w:hint="default" w:ascii="Times New Roman" w:hAnsi="Times New Roman" w:eastAsia="仿宋_GB2312" w:cs="Times New Roman"/>
          <w:b w:val="0"/>
          <w:bCs w:val="0"/>
          <w:color w:val="auto"/>
          <w:highlight w:val="none"/>
        </w:rPr>
        <w:t>元。</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val="en-US" w:eastAsia="zh-CN"/>
        </w:rPr>
        <w:t>4.</w:t>
      </w:r>
      <w:r>
        <w:rPr>
          <w:rFonts w:hint="default" w:ascii="Times New Roman" w:hAnsi="Times New Roman" w:eastAsia="仿宋_GB2312" w:cs="Times New Roman"/>
          <w:b w:val="0"/>
          <w:bCs w:val="0"/>
          <w:color w:val="auto"/>
          <w:highlight w:val="none"/>
        </w:rPr>
        <w:t>绩效评价的范围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本项目预算绩效评价报告的评价范围广泛而全面，涵盖了从项目立项至评价时点期间的所有关键预算活动和财务流程。具体而言，评价范围包括但不限于以下几个方面：</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项目预算编制与执行：全面审视项目预算的编制依据、合理性、科学性以及实际执行情况。</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资金管理：深入分析项目资金的分配、使用和监管情况，确保资金使用的合规性、高效性和透明度。</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项目实施进度与产出：评估项目是否按照既定计划顺利推进，各项任务是否按时完成，以及项目产出的数量、质量和时效性是否符合预期。</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社会影响：考察</w:t>
      </w:r>
      <w:r>
        <w:rPr>
          <w:rFonts w:hint="eastAsia" w:ascii="Times New Roman" w:hAnsi="Times New Roman" w:eastAsia="仿宋_GB2312" w:cs="Times New Roman"/>
          <w:b w:val="0"/>
          <w:bCs w:val="0"/>
          <w:color w:val="auto"/>
          <w:highlight w:val="none"/>
          <w:lang w:eastAsia="zh-CN"/>
        </w:rPr>
        <w:t>该</w:t>
      </w:r>
      <w:r>
        <w:rPr>
          <w:rFonts w:hint="default" w:ascii="Times New Roman" w:hAnsi="Times New Roman" w:eastAsia="仿宋_GB2312" w:cs="Times New Roman"/>
          <w:b w:val="0"/>
          <w:bCs w:val="0"/>
          <w:color w:val="auto"/>
          <w:highlight w:val="none"/>
        </w:rPr>
        <w:t>项目</w:t>
      </w:r>
      <w:r>
        <w:rPr>
          <w:rFonts w:hint="eastAsia" w:ascii="Times New Roman" w:hAnsi="Times New Roman" w:eastAsia="仿宋_GB2312" w:cs="Times New Roman"/>
          <w:b w:val="0"/>
          <w:bCs w:val="0"/>
          <w:color w:val="auto"/>
          <w:highlight w:val="none"/>
          <w:lang w:eastAsia="zh-CN"/>
        </w:rPr>
        <w:t>是否能有效改善优抚对象生活质量</w:t>
      </w:r>
      <w:r>
        <w:rPr>
          <w:rFonts w:hint="default" w:ascii="Times New Roman" w:hAnsi="Times New Roman" w:eastAsia="仿宋_GB2312" w:cs="Times New Roman"/>
          <w:b w:val="0"/>
          <w:bCs w:val="0"/>
          <w:color w:val="auto"/>
          <w:highlight w:val="none"/>
        </w:rPr>
        <w:t>。</w:t>
      </w:r>
    </w:p>
    <w:p>
      <w:pPr>
        <w:spacing w:line="560" w:lineRule="exact"/>
        <w:ind w:firstLine="643" w:firstLineChars="200"/>
        <w:rPr>
          <w:rFonts w:hint="default" w:ascii="Times New Roman" w:hAnsi="Times New Roman" w:cs="Times New Roman"/>
          <w:color w:val="auto"/>
          <w:highlight w:val="none"/>
        </w:rPr>
      </w:pPr>
      <w:r>
        <w:rPr>
          <w:rFonts w:hint="default" w:ascii="Times New Roman" w:hAnsi="Times New Roman" w:eastAsia="楷体_GB2312" w:cs="Times New Roman"/>
          <w:b/>
          <w:bCs/>
          <w:color w:val="auto"/>
          <w:sz w:val="32"/>
          <w:szCs w:val="32"/>
          <w:highlight w:val="none"/>
        </w:rPr>
        <w:t>（二）绩效评价原则、评价指标体系（详情见表1）、评价方法、评价标准。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绩效评价原则</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本次项目绩效评价遵循以下基本原则：</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（1）科学公正。绩效评价应当运用科学合理的方法，按照规范的程序，对项目绩效进行客观、公正的反映。</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（2）统筹兼顾。单位自评、部门评价和财政评价应职责明确，各有侧重，相互衔接。单位自评应由项目单位自主实施，即“谁支出、谁自评”。部门评价和财政评价应在单位自评的基础上开展。</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（3）激励约束。绩效评价结果应与预算安排、政策调整、改进管理实质性挂钩，体现奖优罚劣和激励相容导向，有效要安排、低效要压减、无效要问责。</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（4）公开透明。绩效评价结果应依法依规公开，并自觉接受社会监督。</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2</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评价指标体系</w:t>
      </w:r>
    </w:p>
    <w:p>
      <w:pPr>
        <w:spacing w:line="560" w:lineRule="exact"/>
        <w:ind w:firstLine="708" w:firstLineChars="200"/>
        <w:rPr>
          <w:rFonts w:hint="default" w:ascii="Times New Roman" w:hAnsi="Times New Roman"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（1）确定评价指标</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（2）确定权重</w:t>
      </w:r>
    </w:p>
    <w:p>
      <w:pP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（3）确定指标标准值</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10"/>
        <w:spacing w:before="0" w:after="0" w:line="560" w:lineRule="exact"/>
        <w:ind w:firstLine="708" w:firstLineChars="200"/>
        <w:jc w:val="both"/>
        <w:rPr>
          <w:rFonts w:hint="default" w:ascii="Times New Roman" w:hAnsi="Times New Roman" w:eastAsia="仿宋_GB2312" w:cs="Times New Roman"/>
          <w:b w:val="0"/>
          <w:bCs w:val="0"/>
          <w:color w:val="auto"/>
          <w:spacing w:val="17"/>
          <w:kern w:val="2"/>
          <w:highlight w:val="none"/>
        </w:rPr>
      </w:pPr>
      <w:r>
        <w:rPr>
          <w:rFonts w:hint="default" w:ascii="Times New Roman" w:hAnsi="Times New Roman" w:eastAsia="仿宋_GB2312" w:cs="Times New Roman"/>
          <w:b w:val="0"/>
          <w:bCs w:val="0"/>
          <w:color w:val="auto"/>
          <w:spacing w:val="17"/>
          <w:kern w:val="2"/>
          <w:highlight w:val="none"/>
        </w:rPr>
        <w:t>绩效评价总分值100分，根据综合评分结果，90（含）-100分为优、80（含）-90分为良、60（含）-80分为中、60分以下为差。</w:t>
      </w:r>
    </w:p>
    <w:p>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auto"/>
          <w:spacing w:val="17"/>
          <w:highlight w:val="none"/>
        </w:rPr>
      </w:pPr>
      <w:r>
        <w:rPr>
          <w:rFonts w:hint="default" w:ascii="Times New Roman" w:hAnsi="Times New Roman" w:eastAsia="仿宋_GB2312" w:cs="Times New Roman"/>
          <w:b w:val="0"/>
          <w:bCs w:val="0"/>
          <w:color w:val="auto"/>
          <w:spacing w:val="17"/>
          <w:highlight w:val="none"/>
        </w:rPr>
        <w:t>具体评价指标体系详情见附件1</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3</w:t>
      </w:r>
      <w:r>
        <w:rPr>
          <w:rFonts w:hint="default" w:ascii="Times New Roman" w:hAnsi="Times New Roman" w:eastAsia="仿宋_GB2312" w:cs="Times New Roman"/>
          <w:b w:val="0"/>
          <w:bCs w:val="0"/>
          <w:color w:val="auto"/>
          <w:highlight w:val="none"/>
          <w:lang w:val="en-US" w:eastAsia="zh-CN"/>
        </w:rPr>
        <w:t>.</w:t>
      </w:r>
      <w:r>
        <w:rPr>
          <w:rFonts w:hint="default" w:ascii="Times New Roman" w:hAnsi="Times New Roman" w:eastAsia="仿宋_GB2312" w:cs="Times New Roman"/>
          <w:b w:val="0"/>
          <w:bCs w:val="0"/>
          <w:color w:val="auto"/>
          <w:highlight w:val="none"/>
        </w:rPr>
        <w:t>绩效评价方法</w:t>
      </w:r>
    </w:p>
    <w:p>
      <w:pPr>
        <w:spacing w:line="560" w:lineRule="exact"/>
        <w:ind w:firstLine="708" w:firstLineChars="200"/>
        <w:rPr>
          <w:rFonts w:hint="eastAsia"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绩效评价从项目决策、项目过程、项目产出、项目效益四个维度进行评价。</w:t>
      </w:r>
      <w:r>
        <w:rPr>
          <w:rFonts w:hint="eastAsia" w:eastAsia="仿宋_GB2312" w:cs="Times New Roman"/>
          <w:color w:val="auto"/>
          <w:spacing w:val="17"/>
          <w:sz w:val="32"/>
          <w:szCs w:val="32"/>
          <w:highlight w:val="none"/>
          <w:lang w:val="en-US" w:eastAsia="zh-CN"/>
        </w:rPr>
        <w:t>评价对象为项目目标实施情况，评价核心为资金的支出完成情况和项目的产出效益。</w:t>
      </w:r>
      <w:r>
        <w:rPr>
          <w:rFonts w:hint="default" w:ascii="Times New Roman" w:hAnsi="Times New Roman" w:eastAsia="仿宋_GB2312" w:cs="Times New Roman"/>
          <w:color w:val="auto"/>
          <w:spacing w:val="17"/>
          <w:sz w:val="32"/>
          <w:szCs w:val="32"/>
          <w:highlight w:val="none"/>
        </w:rPr>
        <w:t>本次评价指标中采用了成本效益分析法</w:t>
      </w:r>
      <w:r>
        <w:rPr>
          <w:rFonts w:hint="eastAsia" w:eastAsia="仿宋_GB2312" w:cs="Times New Roman"/>
          <w:color w:val="auto"/>
          <w:spacing w:val="17"/>
          <w:sz w:val="32"/>
          <w:szCs w:val="32"/>
          <w:highlight w:val="none"/>
          <w:lang w:eastAsia="zh-CN"/>
        </w:rPr>
        <w:t>，因为此项目</w:t>
      </w:r>
      <w:r>
        <w:rPr>
          <w:rFonts w:hint="default" w:ascii="Times New Roman" w:hAnsi="Times New Roman" w:eastAsia="仿宋_GB2312" w:cs="Times New Roman"/>
          <w:color w:val="auto"/>
          <w:spacing w:val="17"/>
          <w:sz w:val="32"/>
          <w:szCs w:val="32"/>
          <w:highlight w:val="none"/>
        </w:rPr>
        <w:t>评价</w:t>
      </w:r>
      <w:r>
        <w:rPr>
          <w:rFonts w:hint="eastAsia" w:eastAsia="仿宋_GB2312" w:cs="Times New Roman"/>
          <w:color w:val="auto"/>
          <w:spacing w:val="17"/>
          <w:sz w:val="32"/>
          <w:szCs w:val="32"/>
          <w:highlight w:val="none"/>
          <w:lang w:eastAsia="zh-CN"/>
        </w:rPr>
        <w:t>严格遵循“花钱必问效”原则，</w:t>
      </w:r>
      <w:r>
        <w:rPr>
          <w:rFonts w:hint="default" w:ascii="Times New Roman" w:hAnsi="Times New Roman" w:eastAsia="仿宋_GB2312" w:cs="Times New Roman"/>
          <w:color w:val="auto"/>
          <w:spacing w:val="17"/>
          <w:sz w:val="32"/>
          <w:szCs w:val="32"/>
          <w:highlight w:val="none"/>
        </w:rPr>
        <w:t>核心为资金的支出完成情况和项目的产出效益</w:t>
      </w:r>
      <w:r>
        <w:rPr>
          <w:rFonts w:hint="eastAsia" w:eastAsia="仿宋_GB2312" w:cs="Times New Roman"/>
          <w:color w:val="auto"/>
          <w:spacing w:val="17"/>
          <w:sz w:val="32"/>
          <w:szCs w:val="32"/>
          <w:highlight w:val="none"/>
          <w:lang w:eastAsia="zh-CN"/>
        </w:rPr>
        <w:t>，通过成本效益法分析验证资金使用的经济性，避免出现“重投入轻效果”的弊端。</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4</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评价标准</w:t>
      </w:r>
    </w:p>
    <w:p>
      <w:pPr>
        <w:pStyle w:val="10"/>
        <w:widowControl w:val="0"/>
        <w:spacing w:before="0" w:after="0" w:line="560" w:lineRule="exact"/>
        <w:ind w:firstLine="640" w:firstLineChars="200"/>
        <w:jc w:val="both"/>
        <w:outlineLvl w:val="9"/>
        <w:rPr>
          <w:rFonts w:hint="eastAsia"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color w:val="auto"/>
          <w:highlight w:val="none"/>
          <w:lang w:val="en-US" w:eastAsia="zh-CN"/>
        </w:rPr>
        <w:t>计划</w:t>
      </w:r>
      <w:r>
        <w:rPr>
          <w:rFonts w:hint="default" w:ascii="Times New Roman" w:hAnsi="Times New Roman" w:eastAsia="仿宋_GB2312" w:cs="Times New Roman"/>
          <w:b w:val="0"/>
          <w:bCs w:val="0"/>
          <w:color w:val="auto"/>
          <w:highlight w:val="none"/>
        </w:rPr>
        <w:t>标准</w:t>
      </w:r>
      <w:r>
        <w:rPr>
          <w:rFonts w:hint="eastAsia" w:ascii="Times New Roman" w:hAnsi="Times New Roman" w:eastAsia="仿宋_GB2312" w:cs="Times New Roman"/>
          <w:b w:val="0"/>
          <w:bCs w:val="0"/>
          <w:color w:val="auto"/>
          <w:highlight w:val="none"/>
          <w:lang w:eastAsia="zh-CN"/>
        </w:rPr>
        <w:t>，</w:t>
      </w:r>
      <w:r>
        <w:rPr>
          <w:rFonts w:hint="eastAsia" w:ascii="Times New Roman" w:hAnsi="Times New Roman" w:eastAsia="仿宋_GB2312" w:cs="Times New Roman"/>
          <w:b w:val="0"/>
          <w:bCs w:val="0"/>
          <w:color w:val="auto"/>
          <w:highlight w:val="none"/>
          <w:lang w:val="en-US" w:eastAsia="zh-CN"/>
        </w:rPr>
        <w:t>原因是：根据该目标年初预先制定的计划以及三级指标，采用计划标准可提高预算编制准确率，</w:t>
      </w:r>
      <w:r>
        <w:rPr>
          <w:rFonts w:hint="eastAsia" w:ascii="Times New Roman" w:hAnsi="Times New Roman" w:eastAsia="仿宋_GB2312" w:cs="Times New Roman"/>
          <w:b w:val="0"/>
          <w:bCs w:val="0"/>
          <w:color w:val="auto"/>
          <w:highlight w:val="none"/>
          <w:lang w:eastAsia="zh-CN"/>
        </w:rPr>
        <w:t>也可发现指标偏离预期标准等情况，</w:t>
      </w:r>
      <w:r>
        <w:rPr>
          <w:rFonts w:hint="eastAsia" w:ascii="Times New Roman" w:hAnsi="Times New Roman" w:eastAsia="仿宋_GB2312" w:cs="Times New Roman"/>
          <w:b w:val="0"/>
          <w:bCs w:val="0"/>
          <w:color w:val="auto"/>
          <w:highlight w:val="none"/>
          <w:lang w:val="en-US" w:eastAsia="zh-CN"/>
        </w:rPr>
        <w:t>使评价结果更加科学真实</w:t>
      </w:r>
      <w:r>
        <w:rPr>
          <w:rFonts w:hint="eastAsia" w:ascii="Times New Roman" w:hAnsi="Times New Roman" w:eastAsia="仿宋_GB2312" w:cs="Times New Roman"/>
          <w:b w:val="0"/>
          <w:bCs w:val="0"/>
          <w:color w:val="auto"/>
          <w:highlight w:val="none"/>
          <w:lang w:eastAsia="zh-CN"/>
        </w:rPr>
        <w:t>。</w:t>
      </w:r>
    </w:p>
    <w:p>
      <w:pPr>
        <w:pStyle w:val="10"/>
        <w:numPr>
          <w:ilvl w:val="0"/>
          <w:numId w:val="2"/>
        </w:numPr>
        <w:spacing w:before="0" w:after="0" w:line="560" w:lineRule="exact"/>
        <w:ind w:firstLine="711" w:firstLineChars="200"/>
        <w:jc w:val="both"/>
        <w:rPr>
          <w:rFonts w:hint="default" w:ascii="Times New Roman" w:hAnsi="Times New Roman" w:eastAsia="楷体" w:cs="Times New Roman"/>
          <w:color w:val="auto"/>
          <w:spacing w:val="17"/>
          <w:highlight w:val="none"/>
        </w:rPr>
      </w:pPr>
      <w:r>
        <w:rPr>
          <w:rFonts w:hint="default" w:ascii="Times New Roman" w:hAnsi="Times New Roman" w:eastAsia="楷体" w:cs="Times New Roman"/>
          <w:color w:val="auto"/>
          <w:spacing w:val="17"/>
          <w:highlight w:val="none"/>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在项目绩效评价工作启动之初，成立了专门的评价工作小组，小组成员由</w:t>
      </w:r>
      <w:r>
        <w:rPr>
          <w:rFonts w:hint="eastAsia" w:eastAsia="仿宋_GB2312" w:cs="Times New Roman"/>
          <w:color w:val="auto"/>
          <w:sz w:val="32"/>
          <w:szCs w:val="32"/>
          <w:highlight w:val="none"/>
          <w:lang w:eastAsia="zh-CN"/>
        </w:rPr>
        <w:t>项目负责人、财务人员</w:t>
      </w:r>
      <w:r>
        <w:rPr>
          <w:rFonts w:hint="default" w:ascii="Times New Roman" w:hAnsi="Times New Roman" w:eastAsia="仿宋_GB2312" w:cs="Times New Roman"/>
          <w:color w:val="auto"/>
          <w:sz w:val="32"/>
          <w:szCs w:val="32"/>
          <w:highlight w:val="none"/>
        </w:rPr>
        <w:t>组成，</w:t>
      </w:r>
      <w:r>
        <w:rPr>
          <w:rFonts w:hint="eastAsia" w:eastAsia="仿宋_GB2312" w:cs="Times New Roman"/>
          <w:color w:val="auto"/>
          <w:sz w:val="32"/>
          <w:szCs w:val="32"/>
          <w:highlight w:val="none"/>
          <w:lang w:eastAsia="zh-CN"/>
        </w:rPr>
        <w:t>同时</w:t>
      </w:r>
      <w:r>
        <w:rPr>
          <w:rFonts w:hint="default" w:ascii="Times New Roman" w:hAnsi="Times New Roman" w:eastAsia="仿宋_GB2312" w:cs="Times New Roman"/>
          <w:color w:val="auto"/>
          <w:sz w:val="32"/>
          <w:szCs w:val="32"/>
          <w:highlight w:val="none"/>
        </w:rPr>
        <w:t>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auto"/>
          <w:spacing w:val="17"/>
          <w:sz w:val="32"/>
          <w:szCs w:val="32"/>
          <w:highlight w:val="none"/>
        </w:rPr>
        <w:t>项目决策、项目过程、项目产出、项目效益四个维度</w:t>
      </w:r>
      <w:r>
        <w:rPr>
          <w:rFonts w:hint="default" w:ascii="Times New Roman" w:hAnsi="Times New Roman" w:eastAsia="仿宋_GB2312" w:cs="Times New Roman"/>
          <w:color w:val="auto"/>
          <w:sz w:val="32"/>
          <w:szCs w:val="32"/>
          <w:highlight w:val="none"/>
          <w:lang w:eastAsia="zh-CN"/>
        </w:rPr>
        <w:t>，选取了具有代表性和可衡量性的关键指标，并为每个指标设定了明确的评价标准与权重，确保评价结果能够全面、准确地反映项目的绩效状况。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通过财政系统调取资金数据，核实发放名单，</w:t>
      </w:r>
      <w:r>
        <w:rPr>
          <w:rFonts w:hint="default" w:ascii="Times New Roman" w:hAnsi="Times New Roman" w:eastAsia="仿宋_GB2312" w:cs="Times New Roman"/>
          <w:color w:val="auto"/>
          <w:sz w:val="32"/>
          <w:szCs w:val="32"/>
          <w:highlight w:val="none"/>
          <w:lang w:eastAsia="zh-CN"/>
        </w:rPr>
        <w:t>在数据收集过程中，注重数据的质量与完整性</w:t>
      </w:r>
      <w:r>
        <w:rPr>
          <w:rFonts w:hint="eastAsia" w:eastAsia="仿宋_GB2312" w:cs="Times New Roman"/>
          <w:color w:val="auto"/>
          <w:sz w:val="32"/>
          <w:szCs w:val="32"/>
          <w:highlight w:val="none"/>
          <w:lang w:eastAsia="zh-CN"/>
        </w:rPr>
        <w:t>，并</w:t>
      </w:r>
      <w:r>
        <w:rPr>
          <w:rFonts w:hint="default" w:ascii="Times New Roman" w:hAnsi="Times New Roman" w:eastAsia="仿宋_GB2312" w:cs="Times New Roman"/>
          <w:color w:val="auto"/>
          <w:sz w:val="32"/>
          <w:szCs w:val="32"/>
          <w:highlight w:val="none"/>
          <w:lang w:eastAsia="zh-CN"/>
        </w:rPr>
        <w:t>对收集到的数据进行了整理与分类，为后续的数据分析提供了有力支持。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3"/>
        </w:num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综合评价情况及评价结论（附相关评分表）</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color w:val="auto"/>
          <w:highlight w:val="none"/>
          <w:lang w:val="en-US" w:eastAsia="zh-CN"/>
        </w:rPr>
      </w:pP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一</w:t>
      </w: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评价情况</w:t>
      </w:r>
    </w:p>
    <w:p>
      <w:pPr>
        <w:spacing w:line="360" w:lineRule="auto"/>
        <w:ind w:firstLine="640" w:firstLineChars="200"/>
        <w:rPr>
          <w:rFonts w:hint="default"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kern w:val="0"/>
          <w:sz w:val="32"/>
          <w:szCs w:val="32"/>
          <w:highlight w:val="none"/>
          <w:lang w:val="en-US" w:eastAsia="zh-CN" w:bidi="ar"/>
        </w:rPr>
        <w:t>本项目严格按照科学公正、统筹兼顾、激励约束、公开透明绩效评价原则，采用成本效益分析法评价方法，坚持计划标准绩效评价标准对本项目产出数量、产出质量、产出时效、产出成本、项目效益进行了综合评价。</w:t>
      </w:r>
      <w:r>
        <w:rPr>
          <w:rFonts w:hint="default" w:ascii="Times New Roman" w:hAnsi="Times New Roman" w:eastAsia="仿宋_GB2312" w:cs="Times New Roman"/>
          <w:color w:val="auto"/>
          <w:sz w:val="32"/>
          <w:szCs w:val="32"/>
          <w:highlight w:val="none"/>
        </w:rPr>
        <w:t>从项目目标的达成情况来看，巴财社[2023]59号提前下达2024年中央财政优抚对象补助经费预算[第一批]的通知</w:t>
      </w:r>
      <w:r>
        <w:rPr>
          <w:rFonts w:hint="eastAsia" w:eastAsia="仿宋_GB2312" w:cs="Times New Roman"/>
          <w:color w:val="auto"/>
          <w:sz w:val="32"/>
          <w:szCs w:val="32"/>
          <w:highlight w:val="none"/>
          <w:lang w:eastAsia="zh-CN"/>
        </w:rPr>
        <w:t>项目</w:t>
      </w:r>
      <w:r>
        <w:rPr>
          <w:rFonts w:hint="default" w:ascii="Times New Roman" w:hAnsi="Times New Roman" w:eastAsia="仿宋_GB2312" w:cs="Times New Roman"/>
          <w:color w:val="auto"/>
          <w:sz w:val="32"/>
          <w:szCs w:val="32"/>
          <w:highlight w:val="none"/>
        </w:rPr>
        <w:t>为8</w:t>
      </w:r>
      <w:r>
        <w:rPr>
          <w:rFonts w:hint="eastAsia" w:eastAsia="仿宋_GB2312" w:cs="Times New Roman"/>
          <w:color w:val="auto"/>
          <w:sz w:val="32"/>
          <w:szCs w:val="32"/>
          <w:highlight w:val="none"/>
          <w:lang w:val="en-US" w:eastAsia="zh-CN"/>
        </w:rPr>
        <w:t>24</w:t>
      </w:r>
      <w:r>
        <w:rPr>
          <w:rFonts w:hint="default" w:ascii="Times New Roman" w:hAnsi="Times New Roman" w:eastAsia="仿宋_GB2312" w:cs="Times New Roman"/>
          <w:color w:val="auto"/>
          <w:sz w:val="32"/>
          <w:szCs w:val="32"/>
          <w:highlight w:val="none"/>
        </w:rPr>
        <w:t>名优抚对象发放生活补助资金</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优抚对象生活得到</w:t>
      </w:r>
      <w:r>
        <w:rPr>
          <w:rFonts w:hint="eastAsia" w:eastAsia="仿宋_GB2312" w:cs="Times New Roman"/>
          <w:color w:val="auto"/>
          <w:sz w:val="32"/>
          <w:szCs w:val="32"/>
          <w:highlight w:val="none"/>
          <w:lang w:eastAsia="zh-CN"/>
        </w:rPr>
        <w:t>了</w:t>
      </w:r>
      <w:r>
        <w:rPr>
          <w:rFonts w:hint="default" w:ascii="Times New Roman" w:hAnsi="Times New Roman" w:eastAsia="仿宋_GB2312" w:cs="Times New Roman"/>
          <w:color w:val="auto"/>
          <w:sz w:val="32"/>
          <w:szCs w:val="32"/>
          <w:highlight w:val="none"/>
        </w:rPr>
        <w:t>有效改善。</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eastAsia="仿宋_GB2312" w:cs="Times New Roman"/>
          <w:color w:val="auto"/>
          <w:sz w:val="32"/>
          <w:szCs w:val="32"/>
          <w:highlight w:val="none"/>
          <w:lang w:eastAsia="zh-CN"/>
        </w:rPr>
        <w:t>库尔勒市退役军人事务局</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从项目效益的角度来看，本项目不仅实现了预期的社会效益方面产生了积极的影响。具体而言，</w:t>
      </w:r>
      <w:r>
        <w:rPr>
          <w:rFonts w:hint="eastAsia" w:eastAsia="仿宋_GB2312" w:cs="Times New Roman"/>
          <w:color w:val="auto"/>
          <w:sz w:val="32"/>
          <w:szCs w:val="32"/>
          <w:highlight w:val="none"/>
          <w:lang w:eastAsia="zh-CN"/>
        </w:rPr>
        <w:t>优抚</w:t>
      </w:r>
      <w:r>
        <w:rPr>
          <w:rFonts w:hint="default" w:ascii="Times New Roman" w:hAnsi="Times New Roman" w:eastAsia="仿宋_GB2312" w:cs="Times New Roman"/>
          <w:color w:val="auto"/>
          <w:sz w:val="32"/>
          <w:szCs w:val="32"/>
          <w:highlight w:val="none"/>
        </w:rPr>
        <w:t>对象生活得到有效改善，为项目的利益相关者带来了实实在在的利益。</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综上所述，巴财社[2023]59号 提前下达2024年中央财政优抚对象补助经费预算[第一批]的通知</w:t>
      </w:r>
      <w:r>
        <w:rPr>
          <w:rFonts w:hint="eastAsia" w:eastAsia="仿宋_GB2312" w:cs="Times New Roman"/>
          <w:color w:val="auto"/>
          <w:sz w:val="32"/>
          <w:szCs w:val="32"/>
          <w:highlight w:val="none"/>
          <w:lang w:eastAsia="zh-CN"/>
        </w:rPr>
        <w:t>项目</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color w:val="auto"/>
          <w:highlight w:val="none"/>
          <w:lang w:val="en-US" w:eastAsia="zh-CN"/>
        </w:rPr>
      </w:pP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二</w:t>
      </w: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评价结论</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运用绩效评价组制定的评价指标体系以及财政部《项目支出绩效评价管理办法》（财预〔2020〕10号）文件的评分标准，通过数据采集、问卷调查等方式，对本项目进行客观评价，最终评分结果：总得分为</w:t>
      </w:r>
      <w:r>
        <w:rPr>
          <w:rFonts w:hint="eastAsia" w:ascii="Times New Roman" w:hAnsi="Times New Roman" w:eastAsia="仿宋_GB2312" w:cs="Times New Roman"/>
          <w:b w:val="0"/>
          <w:bCs w:val="0"/>
          <w:color w:val="auto"/>
          <w:highlight w:val="none"/>
          <w:lang w:val="en-US" w:eastAsia="zh-CN"/>
        </w:rPr>
        <w:t>99.93</w:t>
      </w:r>
      <w:r>
        <w:rPr>
          <w:rFonts w:hint="default" w:ascii="Times New Roman" w:hAnsi="Times New Roman" w:eastAsia="仿宋_GB2312" w:cs="Times New Roman"/>
          <w:b w:val="0"/>
          <w:bCs w:val="0"/>
          <w:color w:val="auto"/>
          <w:highlight w:val="none"/>
        </w:rPr>
        <w:t>分，属于“优”。其中，项目决策类指标权重为20分，得分为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%。项目过程类指标权重为20分，得分为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%。项目产出类指标权重为40分，得分为</w:t>
      </w:r>
      <w:r>
        <w:rPr>
          <w:rFonts w:hint="eastAsia" w:ascii="Times New Roman" w:hAnsi="Times New Roman" w:eastAsia="仿宋_GB2312" w:cs="Times New Roman"/>
          <w:b w:val="0"/>
          <w:bCs w:val="0"/>
          <w:color w:val="auto"/>
          <w:highlight w:val="none"/>
          <w:lang w:val="en-US" w:eastAsia="zh-CN"/>
        </w:rPr>
        <w:t>39.93</w:t>
      </w:r>
      <w:r>
        <w:rPr>
          <w:rFonts w:hint="default" w:ascii="Times New Roman" w:hAnsi="Times New Roman" w:eastAsia="仿宋_GB2312" w:cs="Times New Roman"/>
          <w:b w:val="0"/>
          <w:bCs w:val="0"/>
          <w:color w:val="auto"/>
          <w:highlight w:val="none"/>
        </w:rPr>
        <w:t xml:space="preserve">分，得分率为 </w:t>
      </w:r>
      <w:r>
        <w:rPr>
          <w:rFonts w:hint="eastAsia" w:ascii="Times New Roman" w:hAnsi="Times New Roman" w:eastAsia="仿宋_GB2312" w:cs="Times New Roman"/>
          <w:b w:val="0"/>
          <w:bCs w:val="0"/>
          <w:color w:val="auto"/>
          <w:highlight w:val="none"/>
          <w:lang w:val="en-US" w:eastAsia="zh-CN"/>
        </w:rPr>
        <w:t>99.83</w:t>
      </w:r>
      <w:r>
        <w:rPr>
          <w:rFonts w:hint="default" w:ascii="Times New Roman" w:hAnsi="Times New Roman" w:eastAsia="仿宋_GB2312" w:cs="Times New Roman"/>
          <w:b w:val="0"/>
          <w:bCs w:val="0"/>
          <w:color w:val="auto"/>
          <w:highlight w:val="none"/>
        </w:rPr>
        <w:t>%。项目效益类指标权重为20分，得分为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%。具体打分情况详见：附件1综合评分表</w:t>
      </w:r>
      <w:r>
        <w:rPr>
          <w:rFonts w:hint="default" w:ascii="Times New Roman" w:hAnsi="Times New Roman" w:eastAsia="仿宋_GB2312" w:cs="Times New Roman"/>
          <w:b w:val="0"/>
          <w:bCs w:val="0"/>
          <w:color w:val="auto"/>
          <w:highlight w:val="none"/>
          <w:lang w:eastAsia="zh-CN"/>
        </w:rPr>
        <w:t>。</w:t>
      </w:r>
    </w:p>
    <w:p>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表1综合评分表</w:t>
      </w:r>
    </w:p>
    <w:tbl>
      <w:tblPr>
        <w:tblStyle w:val="14"/>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39.93</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nil"/>
              <w:right w:val="single" w:color="auto" w:sz="4" w:space="0"/>
            </w:tcBorders>
            <w:shd w:val="clear" w:color="auto" w:fill="auto"/>
            <w:vAlign w:val="center"/>
          </w:tcPr>
          <w:p>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合计</w:t>
            </w:r>
          </w:p>
        </w:tc>
        <w:tc>
          <w:tcPr>
            <w:tcW w:w="2168" w:type="dxa"/>
            <w:tcBorders>
              <w:top w:val="nil"/>
              <w:left w:val="nil"/>
              <w:bottom w:val="nil"/>
              <w:right w:val="single" w:color="auto" w:sz="4" w:space="0"/>
            </w:tcBorders>
            <w:shd w:val="clear" w:color="auto" w:fill="auto"/>
            <w:vAlign w:val="center"/>
          </w:tcPr>
          <w:p>
            <w:pPr>
              <w:jc w:val="center"/>
              <w:rPr>
                <w:rFonts w:hint="default" w:ascii="Times New Roman" w:hAnsi="Times New Roman" w:eastAsia="仿宋_GB2312" w:cs="Times New Roman"/>
                <w:b/>
                <w:bCs/>
                <w:color w:val="auto"/>
                <w:sz w:val="21"/>
                <w:szCs w:val="21"/>
                <w:highlight w:val="none"/>
                <w:lang w:val="en-US" w:eastAsia="zh-CN"/>
              </w:rPr>
            </w:pPr>
            <w:r>
              <w:rPr>
                <w:rFonts w:hint="default" w:ascii="Times New Roman" w:hAnsi="Times New Roman" w:eastAsia="仿宋_GB2312" w:cs="Times New Roman"/>
                <w:b/>
                <w:bCs/>
                <w:color w:val="auto"/>
                <w:sz w:val="21"/>
                <w:szCs w:val="21"/>
                <w:highlight w:val="none"/>
                <w:lang w:val="en-US" w:eastAsia="zh-CN"/>
              </w:rPr>
              <w:t>100</w:t>
            </w:r>
          </w:p>
        </w:tc>
        <w:tc>
          <w:tcPr>
            <w:tcW w:w="2278" w:type="dxa"/>
            <w:tcBorders>
              <w:top w:val="nil"/>
              <w:left w:val="nil"/>
              <w:bottom w:val="nil"/>
              <w:right w:val="single" w:color="auto" w:sz="4" w:space="0"/>
            </w:tcBorders>
            <w:shd w:val="clear" w:color="auto" w:fill="auto"/>
            <w:vAlign w:val="center"/>
          </w:tcPr>
          <w:p>
            <w:pPr>
              <w:jc w:val="center"/>
              <w:rPr>
                <w:rFonts w:hint="default" w:ascii="Times New Roman" w:hAnsi="Times New Roman" w:eastAsia="仿宋_GB2312" w:cs="Times New Roman"/>
                <w:b/>
                <w:bCs/>
                <w:color w:val="auto"/>
                <w:sz w:val="21"/>
                <w:szCs w:val="21"/>
                <w:highlight w:val="none"/>
                <w:lang w:val="en-US" w:eastAsia="zh-CN"/>
              </w:rPr>
            </w:pPr>
            <w:r>
              <w:rPr>
                <w:rFonts w:hint="eastAsia" w:eastAsia="仿宋_GB2312" w:cs="Times New Roman"/>
                <w:b/>
                <w:bCs/>
                <w:color w:val="auto"/>
                <w:sz w:val="21"/>
                <w:szCs w:val="21"/>
                <w:highlight w:val="none"/>
                <w:lang w:val="en-US" w:eastAsia="zh-CN"/>
              </w:rPr>
              <w:t>99.93</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auto"/>
                <w:sz w:val="21"/>
                <w:szCs w:val="21"/>
                <w:highlight w:val="none"/>
              </w:rPr>
            </w:pP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auto"/>
                <w:sz w:val="21"/>
                <w:szCs w:val="21"/>
                <w:highlight w:val="none"/>
                <w:lang w:val="en-US" w:eastAsia="zh-CN"/>
              </w:rPr>
            </w:pPr>
          </w:p>
        </w:tc>
        <w:tc>
          <w:tcPr>
            <w:tcW w:w="2278" w:type="dxa"/>
            <w:tcBorders>
              <w:top w:val="nil"/>
              <w:left w:val="nil"/>
              <w:bottom w:val="single" w:color="auto" w:sz="4" w:space="0"/>
              <w:right w:val="single" w:color="auto" w:sz="4" w:space="0"/>
            </w:tcBorders>
            <w:shd w:val="clear" w:color="auto" w:fill="auto"/>
            <w:vAlign w:val="center"/>
          </w:tcPr>
          <w:p>
            <w:pPr>
              <w:jc w:val="center"/>
              <w:rPr>
                <w:rFonts w:hint="eastAsia" w:eastAsia="仿宋_GB2312" w:cs="Times New Roman"/>
                <w:b/>
                <w:bCs/>
                <w:color w:val="auto"/>
                <w:sz w:val="21"/>
                <w:szCs w:val="21"/>
                <w:highlight w:val="none"/>
                <w:lang w:val="en-US" w:eastAsia="zh-CN"/>
              </w:rPr>
            </w:pPr>
          </w:p>
        </w:tc>
      </w:tr>
    </w:tbl>
    <w:p>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四、绩效评价指标分析</w:t>
      </w:r>
    </w:p>
    <w:p>
      <w:pPr>
        <w:pStyle w:val="10"/>
        <w:spacing w:before="0" w:after="0" w:line="560" w:lineRule="exact"/>
        <w:ind w:firstLine="643" w:firstLineChars="200"/>
        <w:jc w:val="both"/>
        <w:rPr>
          <w:rFonts w:hint="default" w:ascii="Times New Roman" w:hAnsi="Times New Roman" w:eastAsia="楷体_GB2312" w:cs="Times New Roman"/>
          <w:color w:val="auto"/>
          <w:highlight w:val="none"/>
        </w:rPr>
      </w:pPr>
      <w:r>
        <w:rPr>
          <w:rFonts w:hint="default" w:ascii="Times New Roman" w:hAnsi="Times New Roman" w:eastAsia="楷体_GB2312" w:cs="Times New Roman"/>
          <w:color w:val="auto"/>
          <w:highlight w:val="none"/>
        </w:rPr>
        <w:t>（一）项目决策情况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该项目立项符合</w:t>
      </w:r>
      <w:r>
        <w:rPr>
          <w:rFonts w:hint="eastAsia" w:ascii="仿宋_GB2312" w:hAnsi="Times New Roman" w:eastAsia="仿宋_GB2312" w:cs="Times New Roman"/>
          <w:kern w:val="2"/>
          <w:sz w:val="30"/>
          <w:szCs w:val="30"/>
          <w:lang w:val="en-US" w:eastAsia="zh-CN" w:bidi="ar-SA"/>
        </w:rPr>
        <w:t>《</w:t>
      </w:r>
      <w:r>
        <w:rPr>
          <w:rFonts w:hint="eastAsia" w:ascii="仿宋_GB2312" w:eastAsia="仿宋_GB2312" w:cs="Times New Roman"/>
          <w:kern w:val="2"/>
          <w:sz w:val="30"/>
          <w:szCs w:val="30"/>
          <w:lang w:val="en-US" w:eastAsia="zh-CN" w:bidi="ar-SA"/>
        </w:rPr>
        <w:t>退役军人保障法</w:t>
      </w:r>
      <w:r>
        <w:rPr>
          <w:rFonts w:hint="eastAsia" w:ascii="仿宋_GB2312" w:hAnsi="Times New Roman" w:eastAsia="仿宋_GB2312" w:cs="Times New Roman"/>
          <w:kern w:val="2"/>
          <w:sz w:val="30"/>
          <w:szCs w:val="30"/>
          <w:lang w:val="en-US" w:eastAsia="zh-CN" w:bidi="ar-SA"/>
        </w:rPr>
        <w:t>法》《军人抚恤优待条例》《烈士褒扬条例》等法律法规</w:t>
      </w:r>
      <w:r>
        <w:rPr>
          <w:rFonts w:hint="default" w:ascii="Times New Roman" w:hAnsi="Times New Roman" w:eastAsia="仿宋_GB2312" w:cs="Times New Roman"/>
          <w:color w:val="auto"/>
          <w:sz w:val="32"/>
          <w:szCs w:val="32"/>
          <w:highlight w:val="none"/>
          <w:lang w:val="en-US" w:eastAsia="zh-CN"/>
        </w:rPr>
        <w:t>及发展政策，符合行业规划要求，围绕本年度工作重点和工作计划制定经费预算，属于公共财政支持范围</w:t>
      </w:r>
      <w:r>
        <w:rPr>
          <w:rFonts w:hint="eastAsia" w:eastAsia="仿宋_GB2312" w:cs="Times New Roman"/>
          <w:color w:val="auto"/>
          <w:sz w:val="32"/>
          <w:szCs w:val="32"/>
          <w:highlight w:val="none"/>
          <w:lang w:val="en-US" w:eastAsia="zh-CN"/>
        </w:rPr>
        <w:t>，本项目与部门内部其他相关项目不重复，立项依据充分</w:t>
      </w:r>
      <w:r>
        <w:rPr>
          <w:rFonts w:hint="default" w:ascii="Times New Roman" w:hAnsi="Times New Roman" w:eastAsia="仿宋_GB2312" w:cs="Times New Roman"/>
          <w:color w:val="auto"/>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项目申请、设立过程符合相关要求，</w:t>
      </w:r>
      <w:r>
        <w:rPr>
          <w:rFonts w:hint="default" w:ascii="Times New Roman" w:hAnsi="Times New Roman" w:eastAsia="仿宋_GB2312" w:cs="Times New Roman"/>
          <w:color w:val="auto"/>
          <w:sz w:val="32"/>
          <w:szCs w:val="32"/>
          <w:highlight w:val="none"/>
          <w:lang w:eastAsia="zh-Hans"/>
        </w:rPr>
        <w:t>严格按照审批流程准备符合要求的文件、材料；</w:t>
      </w:r>
      <w:r>
        <w:rPr>
          <w:rFonts w:hint="default" w:ascii="Times New Roman" w:hAnsi="Times New Roman" w:eastAsia="仿宋_GB2312" w:cs="Times New Roman"/>
          <w:color w:val="auto"/>
          <w:sz w:val="32"/>
          <w:szCs w:val="32"/>
          <w:highlight w:val="none"/>
          <w:lang w:val="en-US" w:eastAsia="zh-CN"/>
        </w:rPr>
        <w:t>根据决算依据编制工作计划和经费预算，经过与部门项目分管领导沟通、筛选确定经费预算计划，确定最终预算方案。项目的审批文件、材料符合相关要求，</w:t>
      </w:r>
      <w:r>
        <w:rPr>
          <w:rFonts w:hint="eastAsia" w:eastAsia="仿宋_GB2312" w:cs="Times New Roman"/>
          <w:color w:val="auto"/>
          <w:sz w:val="32"/>
          <w:szCs w:val="32"/>
          <w:highlight w:val="none"/>
          <w:lang w:val="en-US" w:eastAsia="zh-CN"/>
        </w:rPr>
        <w:t>项目事前经过必要的绩效评估、集体决策，申报流程完整、程序规范。</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此项权重分值为3分，得分为3分。</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Hans"/>
        </w:rPr>
        <w:t>年初结合实际工作内容</w:t>
      </w:r>
      <w:r>
        <w:rPr>
          <w:rFonts w:hint="default" w:ascii="Times New Roman" w:hAnsi="Times New Roman" w:eastAsia="仿宋_GB2312" w:cs="Times New Roman"/>
          <w:color w:val="auto"/>
          <w:sz w:val="32"/>
          <w:szCs w:val="32"/>
          <w:highlight w:val="none"/>
          <w:lang w:val="en-US" w:eastAsia="zh-CN"/>
        </w:rPr>
        <w:t>设定绩效目标</w:t>
      </w:r>
      <w:r>
        <w:rPr>
          <w:rFonts w:hint="default" w:ascii="Times New Roman" w:hAnsi="Times New Roman" w:eastAsia="仿宋_GB2312" w:cs="Times New Roman"/>
          <w:color w:val="auto"/>
          <w:sz w:val="32"/>
          <w:szCs w:val="32"/>
          <w:highlight w:val="none"/>
          <w:lang w:val="en-US" w:eastAsia="zh-Hans"/>
        </w:rPr>
        <w:t>，绩效目标</w:t>
      </w:r>
      <w:r>
        <w:rPr>
          <w:rFonts w:hint="default" w:ascii="Times New Roman" w:hAnsi="Times New Roman" w:eastAsia="仿宋_GB2312" w:cs="Times New Roman"/>
          <w:color w:val="auto"/>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此项权重分值为3分，得分为3分。</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在预算编制过程中，</w:t>
      </w:r>
      <w:r>
        <w:rPr>
          <w:rFonts w:hint="default" w:ascii="Times New Roman" w:hAnsi="Times New Roman" w:eastAsia="仿宋_GB2312" w:cs="Times New Roman"/>
          <w:color w:val="auto"/>
          <w:sz w:val="32"/>
          <w:szCs w:val="32"/>
          <w:highlight w:val="none"/>
          <w:lang w:val="en-US" w:eastAsia="zh-CN"/>
        </w:rPr>
        <w:t>还</w:t>
      </w:r>
      <w:r>
        <w:rPr>
          <w:rFonts w:hint="default" w:ascii="Times New Roman" w:hAnsi="Times New Roman" w:eastAsia="仿宋_GB2312" w:cs="Times New Roman"/>
          <w:color w:val="auto"/>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此项权重分值为4分，得分为4分。</w:t>
      </w:r>
    </w:p>
    <w:p>
      <w:pPr>
        <w:pStyle w:val="10"/>
        <w:numPr>
          <w:ilvl w:val="0"/>
          <w:numId w:val="4"/>
        </w:numPr>
        <w:spacing w:before="0" w:after="0" w:line="560" w:lineRule="exact"/>
        <w:ind w:firstLine="643" w:firstLineChars="200"/>
        <w:jc w:val="both"/>
        <w:rPr>
          <w:rFonts w:hint="default" w:ascii="Times New Roman" w:hAnsi="Times New Roman" w:eastAsia="楷体" w:cs="Times New Roman"/>
          <w:color w:val="auto"/>
          <w:highlight w:val="none"/>
        </w:rPr>
      </w:pPr>
      <w:r>
        <w:rPr>
          <w:rFonts w:hint="default" w:ascii="Times New Roman" w:hAnsi="Times New Roman" w:eastAsia="楷体" w:cs="Times New Roman"/>
          <w:color w:val="auto"/>
          <w:highlight w:val="none"/>
        </w:rPr>
        <w:t>项目过程情况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本项目总投资</w:t>
      </w:r>
      <w:r>
        <w:rPr>
          <w:rFonts w:hint="eastAsia" w:eastAsia="仿宋_GB2312" w:cs="Times New Roman"/>
          <w:color w:val="auto"/>
          <w:sz w:val="32"/>
          <w:szCs w:val="32"/>
          <w:highlight w:val="none"/>
          <w:lang w:val="en-US" w:eastAsia="zh-CN"/>
        </w:rPr>
        <w:t>1093.2</w:t>
      </w:r>
      <w:r>
        <w:rPr>
          <w:rFonts w:hint="default" w:ascii="Times New Roman" w:hAnsi="Times New Roman" w:eastAsia="仿宋_GB2312" w:cs="Times New Roman"/>
          <w:color w:val="auto"/>
          <w:sz w:val="32"/>
          <w:szCs w:val="32"/>
          <w:highlight w:val="none"/>
          <w:lang w:val="en-US" w:eastAsia="zh-CN"/>
        </w:rPr>
        <w:t>万元，财政资金及时足额到位，到位率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预算编制较为详细，项目资金支出总体能够按照预算执行，预算资金支出</w:t>
      </w:r>
      <w:r>
        <w:rPr>
          <w:rFonts w:hint="eastAsia" w:eastAsia="仿宋_GB2312" w:cs="Times New Roman"/>
          <w:color w:val="auto"/>
          <w:sz w:val="32"/>
          <w:szCs w:val="32"/>
          <w:highlight w:val="none"/>
          <w:lang w:val="en-US" w:eastAsia="zh-CN"/>
        </w:rPr>
        <w:t>1093.2</w:t>
      </w:r>
      <w:r>
        <w:rPr>
          <w:rFonts w:hint="default" w:ascii="Times New Roman" w:hAnsi="Times New Roman"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本项目的资金使用严格遵循</w:t>
      </w:r>
      <w:r>
        <w:rPr>
          <w:rFonts w:hint="eastAsia" w:eastAsia="仿宋_GB2312" w:cs="Times New Roman"/>
          <w:color w:val="auto"/>
          <w:sz w:val="32"/>
          <w:szCs w:val="32"/>
          <w:highlight w:val="none"/>
          <w:lang w:eastAsia="zh-CN"/>
        </w:rPr>
        <w:t>《退役军人保障法》</w:t>
      </w:r>
      <w:r>
        <w:rPr>
          <w:rFonts w:hint="eastAsia" w:ascii="Times New Roman" w:hAnsi="Times New Roman" w:eastAsia="仿宋_GB2312" w:cs="Times New Roman"/>
          <w:color w:val="auto"/>
          <w:sz w:val="32"/>
          <w:szCs w:val="32"/>
          <w:highlight w:val="none"/>
          <w:lang w:val="en-US" w:eastAsia="zh-CN"/>
        </w:rPr>
        <w:t>《优抚对象抚恤补助资金使用管理办法》</w:t>
      </w:r>
      <w:r>
        <w:rPr>
          <w:rFonts w:hint="eastAsia" w:eastAsia="仿宋_GB2312" w:cs="Times New Roman"/>
          <w:color w:val="auto"/>
          <w:sz w:val="32"/>
          <w:szCs w:val="32"/>
          <w:highlight w:val="none"/>
          <w:lang w:val="en-US" w:eastAsia="zh-CN"/>
        </w:rPr>
        <w:t>《库尔勒市退役军人事务局收入管理制度》《库尔勒市退役军人事务局支出管理制度》</w:t>
      </w:r>
      <w:r>
        <w:rPr>
          <w:rFonts w:hint="eastAsia" w:eastAsia="仿宋_GB2312" w:cs="Times New Roman"/>
          <w:color w:val="auto"/>
          <w:sz w:val="32"/>
          <w:szCs w:val="32"/>
          <w:highlight w:val="none"/>
          <w:lang w:eastAsia="zh-CN"/>
        </w:rPr>
        <w:t>等法律法规和财务制度</w:t>
      </w:r>
      <w:r>
        <w:rPr>
          <w:rFonts w:hint="default"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eastAsia="zh-CN"/>
        </w:rPr>
        <w:t>资金的拨付有完整的审批程序和手续；符合项目预算批复规定的用途；</w:t>
      </w:r>
      <w:r>
        <w:rPr>
          <w:rFonts w:hint="eastAsia" w:ascii="Times New Roman" w:hAnsi="Times New Roman" w:eastAsia="仿宋_GB2312" w:cs="Times New Roman"/>
          <w:color w:val="auto"/>
          <w:sz w:val="32"/>
          <w:szCs w:val="32"/>
          <w:highlight w:val="none"/>
          <w:lang w:val="en-US" w:eastAsia="zh-CN"/>
        </w:rPr>
        <w:t>不</w:t>
      </w:r>
      <w:r>
        <w:rPr>
          <w:rFonts w:hint="eastAsia" w:ascii="Times New Roman" w:hAnsi="Times New Roman" w:eastAsia="仿宋_GB2312" w:cs="Times New Roman"/>
          <w:color w:val="auto"/>
          <w:sz w:val="32"/>
          <w:szCs w:val="32"/>
          <w:highlight w:val="none"/>
          <w:lang w:eastAsia="zh-CN"/>
        </w:rPr>
        <w:t>存在截留、挤占、挪用、虚列支出等情况。</w:t>
      </w:r>
      <w:r>
        <w:rPr>
          <w:rFonts w:hint="default" w:ascii="Times New Roman" w:hAnsi="Times New Roman" w:eastAsia="仿宋_GB2312" w:cs="Times New Roman"/>
          <w:color w:val="auto"/>
          <w:sz w:val="32"/>
          <w:szCs w:val="32"/>
          <w:highlight w:val="none"/>
          <w:lang w:eastAsia="zh-CN"/>
        </w:rPr>
        <w:t>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此项权重分值为4分，得分为4分。</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w:t>
      </w:r>
      <w:r>
        <w:rPr>
          <w:rFonts w:hint="eastAsia" w:eastAsia="仿宋_GB2312" w:cs="Times New Roman"/>
          <w:color w:val="auto"/>
          <w:sz w:val="32"/>
          <w:szCs w:val="32"/>
          <w:highlight w:val="none"/>
          <w:lang w:eastAsia="zh-CN"/>
        </w:rPr>
        <w:t>拥有一套完善、健全的管理制度，包括《库尔勒市退役军人事务局决算管理制度》</w:t>
      </w:r>
      <w:r>
        <w:rPr>
          <w:rFonts w:hint="eastAsia" w:eastAsia="仿宋_GB2312" w:cs="Times New Roman"/>
          <w:color w:val="auto"/>
          <w:sz w:val="32"/>
          <w:szCs w:val="32"/>
          <w:highlight w:val="none"/>
          <w:lang w:val="en-US" w:eastAsia="zh-CN"/>
        </w:rPr>
        <w:t>《库尔勒市退役军人事务局收入管理制度》《库尔勒市退役军人事务局支出管理制度》</w:t>
      </w:r>
      <w:r>
        <w:rPr>
          <w:rFonts w:hint="eastAsia" w:eastAsia="仿宋_GB2312" w:cs="Times New Roman"/>
          <w:color w:val="auto"/>
          <w:sz w:val="32"/>
          <w:szCs w:val="32"/>
          <w:highlight w:val="none"/>
          <w:lang w:eastAsia="zh-CN"/>
        </w:rPr>
        <w:t>等，</w:t>
      </w:r>
      <w:r>
        <w:rPr>
          <w:rFonts w:hint="eastAsia" w:ascii="Times New Roman" w:hAnsi="Times New Roman" w:eastAsia="仿宋_GB2312" w:cs="Times New Roman"/>
          <w:color w:val="auto"/>
          <w:sz w:val="32"/>
          <w:szCs w:val="32"/>
          <w:highlight w:val="none"/>
          <w:lang w:eastAsia="zh-CN"/>
        </w:rPr>
        <w:t>制度合法、合规、完整</w:t>
      </w:r>
      <w:r>
        <w:rPr>
          <w:rFonts w:hint="eastAsia"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管理制度的健全性不仅体现在制度的完善上，还体现在制度的执行与监督上。我们建立了有效的监督机制与反馈机制，</w:t>
      </w:r>
      <w:r>
        <w:rPr>
          <w:rFonts w:hint="eastAsia" w:eastAsia="仿宋_GB2312" w:cs="Times New Roman"/>
          <w:color w:val="auto"/>
          <w:sz w:val="32"/>
          <w:szCs w:val="32"/>
          <w:highlight w:val="none"/>
          <w:lang w:eastAsia="zh-CN"/>
        </w:rPr>
        <w:t>包括《库尔勒市优抚资金分级审核和定量核查工作制度》《退役军人常态化联系制度》等，</w:t>
      </w:r>
      <w:r>
        <w:rPr>
          <w:rFonts w:hint="default" w:ascii="Times New Roman" w:hAnsi="Times New Roman" w:eastAsia="仿宋_GB2312" w:cs="Times New Roman"/>
          <w:color w:val="auto"/>
          <w:sz w:val="32"/>
          <w:szCs w:val="32"/>
          <w:highlight w:val="none"/>
          <w:lang w:eastAsia="zh-CN"/>
        </w:rPr>
        <w:t>对项目的实施情况进行定期检查与评估，及时发现并纠正可能存在的问题。</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综上所述，本项目的管理制度在执行过程中表现出了高度的有效性，既确保了项目的顺利进行，又实现了项目目标的有效达成。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此项权重分值为4分，得分为4分。</w:t>
      </w:r>
    </w:p>
    <w:p>
      <w:pPr>
        <w:pStyle w:val="12"/>
        <w:numPr>
          <w:ilvl w:val="0"/>
          <w:numId w:val="4"/>
        </w:numPr>
        <w:spacing w:line="560" w:lineRule="exact"/>
        <w:ind w:firstLine="643"/>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项目产出</w:t>
      </w:r>
      <w:r>
        <w:rPr>
          <w:rFonts w:hint="default" w:ascii="Times New Roman" w:hAnsi="Times New Roman" w:eastAsia="楷体_GB2312" w:cs="Times New Roman"/>
          <w:b/>
          <w:bCs/>
          <w:color w:val="auto"/>
          <w:sz w:val="32"/>
          <w:szCs w:val="32"/>
          <w:highlight w:val="none"/>
          <w:lang w:val="en-US" w:eastAsia="zh-CN"/>
        </w:rPr>
        <w:t>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项目产出类指标包括产出数量、产出质量、产出时效、产出成本四方面的内容，由</w:t>
      </w:r>
      <w:r>
        <w:rPr>
          <w:rFonts w:hint="eastAsia"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个三级指标构成，权重分为40分，实际得分</w:t>
      </w:r>
      <w:r>
        <w:rPr>
          <w:rFonts w:hint="eastAsia" w:eastAsia="仿宋_GB2312" w:cs="Times New Roman"/>
          <w:color w:val="auto"/>
          <w:sz w:val="32"/>
          <w:szCs w:val="32"/>
          <w:highlight w:val="none"/>
          <w:lang w:val="en-US" w:eastAsia="zh-CN"/>
        </w:rPr>
        <w:t>39.93</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99.83</w:t>
      </w:r>
      <w:r>
        <w:rPr>
          <w:rFonts w:hint="default" w:ascii="Times New Roman" w:hAnsi="Times New Roman" w:eastAsia="仿宋_GB2312" w:cs="Times New Roman"/>
          <w:color w:val="auto"/>
          <w:sz w:val="32"/>
          <w:szCs w:val="32"/>
          <w:highlight w:val="none"/>
          <w:lang w:val="en-US" w:eastAsia="zh-CN"/>
        </w:rPr>
        <w:t>%。具体产出指标完成情况如下：</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1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①</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数量指标：</w:t>
      </w:r>
    </w:p>
    <w:p>
      <w:pPr>
        <w:spacing w:line="360" w:lineRule="auto"/>
        <w:ind w:firstLine="640" w:firstLineChars="200"/>
        <w:rPr>
          <w:rFonts w:hint="eastAsia"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：优抚生活补助人数，指标值：&gt;=818人，实际完成值：</w:t>
      </w:r>
      <w:r>
        <w:rPr>
          <w:rFonts w:hint="eastAsia" w:eastAsia="仿宋_GB2312" w:cs="Times New Roman"/>
          <w:color w:val="auto"/>
          <w:sz w:val="32"/>
          <w:szCs w:val="32"/>
          <w:highlight w:val="none"/>
          <w:lang w:val="en-US" w:eastAsia="zh-CN"/>
        </w:rPr>
        <w:t>824人</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100.73</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；偏差原</w:t>
      </w:r>
      <w:r>
        <w:rPr>
          <w:rFonts w:hint="eastAsia" w:ascii="Times New Roman" w:hAnsi="Times New Roman" w:eastAsia="仿宋_GB2312" w:cs="Times New Roman"/>
          <w:color w:val="auto"/>
          <w:sz w:val="32"/>
          <w:szCs w:val="32"/>
          <w:highlight w:val="none"/>
          <w:lang w:eastAsia="zh-CN"/>
        </w:rPr>
        <w:t>因为：</w:t>
      </w:r>
      <w:r>
        <w:rPr>
          <w:rFonts w:hint="eastAsia" w:ascii="Times New Roman" w:hAnsi="Times New Roman" w:eastAsia="仿宋_GB2312" w:cs="Times New Roman"/>
          <w:color w:val="auto"/>
          <w:sz w:val="32"/>
          <w:szCs w:val="32"/>
          <w:highlight w:val="none"/>
          <w:lang w:val="en-US" w:eastAsia="zh-CN"/>
        </w:rPr>
        <w:t>符合享受优抚对象生活补助人数本年增加</w:t>
      </w:r>
      <w:r>
        <w:rPr>
          <w:rFonts w:hint="eastAsia" w:eastAsia="仿宋_GB2312" w:cs="Times New Roman"/>
          <w:color w:val="auto"/>
          <w:sz w:val="32"/>
          <w:szCs w:val="32"/>
          <w:highlight w:val="none"/>
          <w:lang w:val="en-US" w:eastAsia="zh-CN"/>
        </w:rPr>
        <w:t>导致享受</w:t>
      </w:r>
      <w:r>
        <w:rPr>
          <w:rFonts w:hint="default" w:ascii="Times New Roman" w:hAnsi="Times New Roman" w:eastAsia="仿宋_GB2312" w:cs="Times New Roman"/>
          <w:color w:val="auto"/>
          <w:sz w:val="32"/>
          <w:szCs w:val="32"/>
          <w:highlight w:val="none"/>
        </w:rPr>
        <w:t>优抚生活补助人数</w:t>
      </w:r>
      <w:r>
        <w:rPr>
          <w:rFonts w:hint="eastAsia" w:eastAsia="仿宋_GB2312" w:cs="Times New Roman"/>
          <w:color w:val="auto"/>
          <w:sz w:val="32"/>
          <w:szCs w:val="32"/>
          <w:highlight w:val="none"/>
          <w:lang w:eastAsia="zh-CN"/>
        </w:rPr>
        <w:t>不精准</w:t>
      </w:r>
      <w:r>
        <w:rPr>
          <w:rFonts w:hint="eastAsia" w:eastAsia="仿宋_GB2312" w:cs="Times New Roman"/>
          <w:color w:val="auto"/>
          <w:sz w:val="32"/>
          <w:szCs w:val="32"/>
          <w:highlight w:val="none"/>
          <w:lang w:val="en-US" w:eastAsia="zh-CN"/>
        </w:rPr>
        <w:t>，改进措</w:t>
      </w:r>
      <w:r>
        <w:rPr>
          <w:rFonts w:hint="eastAsia" w:ascii="Times New Roman" w:hAnsi="Times New Roman" w:eastAsia="仿宋_GB2312" w:cs="Times New Roman"/>
          <w:color w:val="auto"/>
          <w:sz w:val="32"/>
          <w:szCs w:val="32"/>
          <w:highlight w:val="none"/>
          <w:lang w:val="en-US" w:eastAsia="zh-CN"/>
        </w:rPr>
        <w:t>施：继续细化预算编制。</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此项权重分值为10分，得分为10分。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2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②</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质量指标：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指标1：优抚对象生活补助标准按规定执行率，指标值：&gt;=95%，实际完成值：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p>
    <w:p>
      <w:pPr>
        <w:shd w:val="clear"/>
        <w:spacing w:line="600" w:lineRule="exact"/>
        <w:ind w:firstLine="640" w:firstLineChars="200"/>
        <w:outlineLvl w:val="0"/>
        <w:rPr>
          <w:rFonts w:hint="eastAsia"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：优抚对象生活补助政策知晓率，指标值：&gt;=95%，实际完成值：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此项权重分值为10分，得分为10分。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3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③</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时效指标：</w:t>
      </w:r>
    </w:p>
    <w:p>
      <w:pPr>
        <w:shd w:val="clear"/>
        <w:spacing w:line="600" w:lineRule="exact"/>
        <w:ind w:firstLine="640" w:firstLineChars="200"/>
        <w:outlineLvl w:val="0"/>
        <w:rPr>
          <w:rFonts w:hint="eastAsia"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：资金支付及时率，指标值：&gt;=95%，实际完成值：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此项权重分值为10分，得分为10分。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4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④</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成本指标：</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 xml:space="preserve">：优抚对象生活补助人均支出成本，指标值：&lt;=13364.30元/人，实际完成值：13266.99元/人，指标完成率  </w:t>
      </w:r>
      <w:r>
        <w:rPr>
          <w:rFonts w:hint="eastAsia" w:eastAsia="仿宋_GB2312" w:cs="Times New Roman"/>
          <w:color w:val="auto"/>
          <w:sz w:val="32"/>
          <w:szCs w:val="32"/>
          <w:highlight w:val="none"/>
          <w:lang w:val="en-US" w:eastAsia="zh-CN"/>
        </w:rPr>
        <w:t>99.27</w:t>
      </w:r>
      <w:r>
        <w:rPr>
          <w:rFonts w:hint="default" w:ascii="Times New Roman" w:hAnsi="Times New Roman" w:eastAsia="仿宋_GB2312" w:cs="Times New Roman"/>
          <w:color w:val="auto"/>
          <w:sz w:val="32"/>
          <w:szCs w:val="32"/>
          <w:highlight w:val="none"/>
        </w:rPr>
        <w:t xml:space="preserve"> %</w:t>
      </w:r>
      <w:r>
        <w:rPr>
          <w:rFonts w:hint="eastAsia" w:eastAsia="仿宋_GB2312" w:cs="Times New Roman"/>
          <w:color w:val="auto"/>
          <w:sz w:val="32"/>
          <w:szCs w:val="32"/>
          <w:highlight w:val="none"/>
          <w:lang w:eastAsia="zh-CN"/>
        </w:rPr>
        <w:t>；偏差原</w:t>
      </w:r>
      <w:r>
        <w:rPr>
          <w:rFonts w:hint="eastAsia" w:ascii="Times New Roman" w:hAnsi="Times New Roman" w:eastAsia="仿宋_GB2312" w:cs="Times New Roman"/>
          <w:color w:val="auto"/>
          <w:sz w:val="32"/>
          <w:szCs w:val="32"/>
          <w:highlight w:val="none"/>
          <w:lang w:eastAsia="zh-CN"/>
        </w:rPr>
        <w:t>因为：</w:t>
      </w:r>
      <w:r>
        <w:rPr>
          <w:rFonts w:hint="eastAsia" w:ascii="Times New Roman" w:hAnsi="Times New Roman" w:eastAsia="仿宋_GB2312" w:cs="Times New Roman"/>
          <w:color w:val="auto"/>
          <w:sz w:val="32"/>
          <w:szCs w:val="32"/>
          <w:highlight w:val="none"/>
          <w:lang w:val="en-US" w:eastAsia="zh-CN"/>
        </w:rPr>
        <w:t>符合享受优抚对象生活补助人数本年增加导致导致人均支出成本降低。</w:t>
      </w:r>
      <w:r>
        <w:rPr>
          <w:rFonts w:hint="eastAsia" w:eastAsia="仿宋_GB2312" w:cs="Times New Roman"/>
          <w:color w:val="auto"/>
          <w:sz w:val="32"/>
          <w:szCs w:val="32"/>
          <w:highlight w:val="none"/>
          <w:lang w:val="en-US" w:eastAsia="zh-CN"/>
        </w:rPr>
        <w:t>改进措</w:t>
      </w:r>
      <w:r>
        <w:rPr>
          <w:rFonts w:hint="eastAsia" w:ascii="Times New Roman" w:hAnsi="Times New Roman" w:eastAsia="仿宋_GB2312" w:cs="Times New Roman"/>
          <w:color w:val="auto"/>
          <w:sz w:val="32"/>
          <w:szCs w:val="32"/>
          <w:highlight w:val="none"/>
          <w:lang w:val="en-US" w:eastAsia="zh-CN"/>
        </w:rPr>
        <w:t>施：继续细化预算编制。</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此项权重分值为10分，得分为9.93分。</w:t>
      </w:r>
    </w:p>
    <w:p>
      <w:pPr>
        <w:pStyle w:val="12"/>
        <w:numPr>
          <w:ilvl w:val="0"/>
          <w:numId w:val="4"/>
        </w:numPr>
        <w:spacing w:line="560" w:lineRule="exact"/>
        <w:ind w:firstLine="643"/>
        <w:rPr>
          <w:rFonts w:hint="default" w:ascii="Times New Roman" w:hAnsi="Times New Roman" w:eastAsia="楷体_GB2312" w:cs="Times New Roman"/>
          <w:b/>
          <w:bCs/>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项目效益类指标包括项目实施效益和满意度两方面的内容，由</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个三级指标构成，权重分为20分，实际得分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%。具体效益指标及满意度指标完成情况如下：</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1.实施效益</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社会效益指标</w:t>
      </w: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w:t>
      </w:r>
    </w:p>
    <w:p>
      <w:pPr>
        <w:spacing w:line="360" w:lineRule="auto"/>
        <w:ind w:firstLine="640" w:firstLineChars="200"/>
        <w:rPr>
          <w:rFonts w:hint="default"/>
          <w:color w:val="FF0000"/>
          <w:lang w:val="en-US"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：生活得到有效改善优抚对象人数，指标值：&gt;=818人，实际完成值：</w:t>
      </w:r>
      <w:r>
        <w:rPr>
          <w:rFonts w:hint="eastAsia" w:eastAsia="仿宋_GB2312" w:cs="Times New Roman"/>
          <w:color w:val="auto"/>
          <w:sz w:val="32"/>
          <w:szCs w:val="32"/>
          <w:highlight w:val="none"/>
          <w:lang w:val="en-US" w:eastAsia="zh-CN"/>
        </w:rPr>
        <w:t>824人</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100.73</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；偏差原</w:t>
      </w:r>
      <w:r>
        <w:rPr>
          <w:rFonts w:hint="eastAsia" w:ascii="Times New Roman" w:hAnsi="Times New Roman" w:eastAsia="仿宋_GB2312" w:cs="Times New Roman"/>
          <w:color w:val="auto"/>
          <w:sz w:val="32"/>
          <w:szCs w:val="32"/>
          <w:highlight w:val="none"/>
          <w:lang w:eastAsia="zh-CN"/>
        </w:rPr>
        <w:t>因为：</w:t>
      </w:r>
      <w:r>
        <w:rPr>
          <w:rFonts w:hint="eastAsia" w:ascii="Times New Roman" w:hAnsi="Times New Roman" w:eastAsia="仿宋_GB2312" w:cs="Times New Roman"/>
          <w:color w:val="auto"/>
          <w:sz w:val="32"/>
          <w:szCs w:val="32"/>
          <w:highlight w:val="none"/>
          <w:lang w:val="en-US" w:eastAsia="zh-CN"/>
        </w:rPr>
        <w:t>符合享受优抚对象生活补助人数本年增加</w:t>
      </w:r>
      <w:r>
        <w:rPr>
          <w:rFonts w:hint="eastAsia" w:eastAsia="仿宋_GB2312" w:cs="Times New Roman"/>
          <w:color w:val="auto"/>
          <w:sz w:val="32"/>
          <w:szCs w:val="32"/>
          <w:highlight w:val="none"/>
          <w:lang w:val="en-US" w:eastAsia="zh-CN"/>
        </w:rPr>
        <w:t>导致享受</w:t>
      </w:r>
      <w:r>
        <w:rPr>
          <w:rFonts w:hint="default" w:ascii="Times New Roman" w:hAnsi="Times New Roman" w:eastAsia="仿宋_GB2312" w:cs="Times New Roman"/>
          <w:color w:val="auto"/>
          <w:sz w:val="32"/>
          <w:szCs w:val="32"/>
          <w:highlight w:val="none"/>
        </w:rPr>
        <w:t>优抚生活补助人数</w:t>
      </w:r>
      <w:r>
        <w:rPr>
          <w:rFonts w:hint="eastAsia" w:eastAsia="仿宋_GB2312" w:cs="Times New Roman"/>
          <w:color w:val="auto"/>
          <w:sz w:val="32"/>
          <w:szCs w:val="32"/>
          <w:highlight w:val="none"/>
          <w:lang w:eastAsia="zh-CN"/>
        </w:rPr>
        <w:t>不精准</w:t>
      </w:r>
      <w:r>
        <w:rPr>
          <w:rFonts w:hint="eastAsia" w:eastAsia="仿宋_GB2312" w:cs="Times New Roman"/>
          <w:color w:val="auto"/>
          <w:sz w:val="32"/>
          <w:szCs w:val="32"/>
          <w:highlight w:val="none"/>
          <w:lang w:val="en-US" w:eastAsia="zh-CN"/>
        </w:rPr>
        <w:t>，改进措</w:t>
      </w:r>
      <w:r>
        <w:rPr>
          <w:rFonts w:hint="eastAsia" w:ascii="Times New Roman" w:hAnsi="Times New Roman" w:eastAsia="仿宋_GB2312" w:cs="Times New Roman"/>
          <w:color w:val="auto"/>
          <w:sz w:val="32"/>
          <w:szCs w:val="32"/>
          <w:highlight w:val="none"/>
          <w:lang w:val="en-US" w:eastAsia="zh-CN"/>
        </w:rPr>
        <w:t>施：继续细化预算编制。</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此项权重分值为10分，得分为10分。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2.满意度</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：优抚生活补助对象满意度，指标值：&gt;=95%，实际完成值：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此项权重分值为10分，得分为10分。</w:t>
      </w:r>
    </w:p>
    <w:p>
      <w:pPr>
        <w:spacing w:line="560" w:lineRule="exact"/>
        <w:ind w:firstLine="643" w:firstLineChars="200"/>
        <w:rPr>
          <w:rFonts w:hint="default" w:ascii="Times New Roman" w:hAnsi="Times New Roman" w:eastAsia="楷体_GB2312" w:cs="Times New Roman"/>
          <w:b/>
          <w:bCs/>
          <w:color w:val="auto"/>
          <w:sz w:val="32"/>
          <w:szCs w:val="32"/>
          <w:highlight w:val="none"/>
          <w:lang w:val="en-US" w:eastAsia="zh-Hans"/>
        </w:rPr>
      </w:pPr>
      <w:r>
        <w:rPr>
          <w:rFonts w:hint="default" w:ascii="Times New Roman" w:hAnsi="Times New Roman" w:eastAsia="楷体_GB2312" w:cs="Times New Roman"/>
          <w:b/>
          <w:bCs/>
          <w:color w:val="auto"/>
          <w:sz w:val="32"/>
          <w:szCs w:val="32"/>
          <w:highlight w:val="none"/>
          <w:lang w:val="en-US" w:eastAsia="zh-CN"/>
        </w:rPr>
        <w:t>（五）</w:t>
      </w:r>
      <w:r>
        <w:rPr>
          <w:rFonts w:hint="default" w:ascii="Times New Roman" w:hAnsi="Times New Roman" w:eastAsia="楷体_GB2312" w:cs="Times New Roman"/>
          <w:b/>
          <w:bCs/>
          <w:color w:val="auto"/>
          <w:sz w:val="32"/>
          <w:szCs w:val="32"/>
          <w:highlight w:val="none"/>
          <w:lang w:val="en-US" w:eastAsia="zh-Hans"/>
        </w:rPr>
        <w:t>预算执行进度与绩效指标总体完成率偏差</w:t>
      </w:r>
    </w:p>
    <w:p>
      <w:pPr>
        <w:pStyle w:val="19"/>
        <w:spacing w:line="56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sz w:val="32"/>
          <w:szCs w:val="32"/>
          <w:highlight w:val="none"/>
        </w:rPr>
        <w:t>巴财社[2023]59号 提前下达2024年中央财政优抚对象补助经费预算[第一批]的通知</w:t>
      </w:r>
      <w:r>
        <w:rPr>
          <w:rFonts w:hint="eastAsia" w:ascii="Times New Roman" w:hAnsi="Times New Roman" w:eastAsia="仿宋_GB2312" w:cs="Times New Roman"/>
          <w:color w:val="auto"/>
          <w:sz w:val="32"/>
          <w:szCs w:val="32"/>
          <w:highlight w:val="none"/>
          <w:lang w:eastAsia="zh-CN"/>
        </w:rPr>
        <w:t>项目</w:t>
      </w:r>
      <w:r>
        <w:rPr>
          <w:rFonts w:hint="default" w:ascii="Times New Roman" w:hAnsi="Times New Roman" w:eastAsia="仿宋_GB2312" w:cs="Times New Roman"/>
          <w:color w:val="auto"/>
          <w:sz w:val="32"/>
          <w:szCs w:val="32"/>
          <w:highlight w:val="none"/>
        </w:rPr>
        <w:t>年初预算</w:t>
      </w:r>
      <w:r>
        <w:rPr>
          <w:rFonts w:hint="eastAsia" w:ascii="Times New Roman" w:hAnsi="Times New Roman" w:eastAsia="仿宋_GB2312" w:cs="Times New Roman"/>
          <w:color w:val="auto"/>
          <w:sz w:val="32"/>
          <w:szCs w:val="32"/>
          <w:highlight w:val="none"/>
          <w:lang w:val="en-US" w:eastAsia="zh-CN"/>
        </w:rPr>
        <w:t>1093.2</w:t>
      </w:r>
      <w:r>
        <w:rPr>
          <w:rFonts w:hint="default" w:ascii="Times New Roman" w:hAnsi="Times New Roman" w:eastAsia="仿宋_GB2312" w:cs="Times New Roman"/>
          <w:color w:val="auto"/>
          <w:sz w:val="32"/>
          <w:szCs w:val="32"/>
          <w:highlight w:val="none"/>
        </w:rPr>
        <w:t>万元，全年预算</w:t>
      </w:r>
      <w:r>
        <w:rPr>
          <w:rFonts w:hint="eastAsia" w:ascii="Times New Roman" w:hAnsi="Times New Roman" w:eastAsia="仿宋_GB2312" w:cs="Times New Roman"/>
          <w:color w:val="auto"/>
          <w:sz w:val="32"/>
          <w:szCs w:val="32"/>
          <w:highlight w:val="none"/>
          <w:lang w:val="en-US" w:eastAsia="zh-CN"/>
        </w:rPr>
        <w:t>1093.2</w:t>
      </w:r>
      <w:r>
        <w:rPr>
          <w:rFonts w:hint="default" w:ascii="Times New Roman" w:hAnsi="Times New Roman" w:eastAsia="仿宋_GB2312" w:cs="Times New Roman"/>
          <w:color w:val="auto"/>
          <w:sz w:val="32"/>
          <w:szCs w:val="32"/>
          <w:highlight w:val="none"/>
        </w:rPr>
        <w:t>万元，实际支出</w:t>
      </w:r>
      <w:r>
        <w:rPr>
          <w:rFonts w:hint="eastAsia" w:ascii="Times New Roman" w:hAnsi="Times New Roman" w:eastAsia="仿宋_GB2312" w:cs="Times New Roman"/>
          <w:color w:val="auto"/>
          <w:sz w:val="32"/>
          <w:szCs w:val="32"/>
          <w:highlight w:val="none"/>
          <w:lang w:val="en-US" w:eastAsia="zh-CN"/>
        </w:rPr>
        <w:t>1093.2</w:t>
      </w:r>
      <w:r>
        <w:rPr>
          <w:rFonts w:hint="default" w:ascii="Times New Roman" w:hAnsi="Times New Roman" w:eastAsia="仿宋_GB2312" w:cs="Times New Roman"/>
          <w:color w:val="auto"/>
          <w:sz w:val="32"/>
          <w:szCs w:val="32"/>
          <w:highlight w:val="none"/>
        </w:rPr>
        <w:t>万元，预算执行率为</w:t>
      </w:r>
      <w:r>
        <w:rPr>
          <w:rFonts w:hint="eastAsia"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%，项目绩效指标总体完成率为</w:t>
      </w:r>
      <w:r>
        <w:rPr>
          <w:rFonts w:hint="eastAsia" w:ascii="Times New Roman" w:hAnsi="Times New Roman" w:eastAsia="仿宋_GB2312" w:cs="Times New Roman"/>
          <w:color w:val="auto"/>
          <w:sz w:val="32"/>
          <w:szCs w:val="32"/>
          <w:highlight w:val="none"/>
          <w:lang w:val="en-US" w:eastAsia="zh-CN"/>
        </w:rPr>
        <w:t>100.09</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Hans"/>
        </w:rPr>
        <w:t>总体</w:t>
      </w:r>
      <w:r>
        <w:rPr>
          <w:rFonts w:hint="default" w:ascii="Times New Roman" w:hAnsi="Times New Roman" w:eastAsia="仿宋_GB2312" w:cs="Times New Roman"/>
          <w:color w:val="auto"/>
          <w:sz w:val="32"/>
          <w:szCs w:val="32"/>
          <w:highlight w:val="none"/>
        </w:rPr>
        <w:t>偏差率为</w:t>
      </w:r>
      <w:r>
        <w:rPr>
          <w:rFonts w:hint="eastAsia" w:ascii="Times New Roman" w:hAnsi="Times New Roman" w:eastAsia="仿宋_GB2312" w:cs="Times New Roman"/>
          <w:color w:val="auto"/>
          <w:sz w:val="32"/>
          <w:szCs w:val="32"/>
          <w:highlight w:val="none"/>
          <w:lang w:val="en-US" w:eastAsia="zh-CN"/>
        </w:rPr>
        <w:t>0.09</w:t>
      </w:r>
      <w:r>
        <w:rPr>
          <w:rFonts w:hint="default"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kern w:val="2"/>
          <w:sz w:val="32"/>
          <w:szCs w:val="32"/>
          <w:highlight w:val="none"/>
          <w:lang w:val="en-US" w:eastAsia="zh-CN" w:bidi="ar-SA"/>
        </w:rPr>
        <w:t>偏差原因：符合享受优抚对象生活补助人数本年增加，整改措施为：继续细化预算编制。</w:t>
      </w:r>
    </w:p>
    <w:p>
      <w:pPr>
        <w:spacing w:line="560" w:lineRule="exact"/>
        <w:ind w:firstLine="640" w:firstLineChars="200"/>
        <w:rPr>
          <w:rStyle w:val="18"/>
          <w:rFonts w:hint="default" w:ascii="Times New Roman" w:hAnsi="Times New Roman" w:cs="Times New Roman"/>
          <w:color w:val="auto"/>
          <w:highlight w:val="none"/>
        </w:rPr>
      </w:pPr>
      <w:r>
        <w:rPr>
          <w:rFonts w:hint="eastAsia" w:eastAsia="黑体" w:cs="Times New Roman"/>
          <w:color w:val="auto"/>
          <w:sz w:val="32"/>
          <w:szCs w:val="32"/>
          <w:highlight w:val="none"/>
          <w:lang w:val="en-US" w:eastAsia="zh-CN"/>
        </w:rPr>
        <w:t>五</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黑体" w:cs="Times New Roman"/>
          <w:color w:val="auto"/>
          <w:sz w:val="32"/>
          <w:szCs w:val="32"/>
          <w:highlight w:val="none"/>
        </w:rPr>
        <w:t>主要经验及做法、存在的问题及原因分析</w:t>
      </w:r>
    </w:p>
    <w:p>
      <w:pPr>
        <w:spacing w:line="560" w:lineRule="exact"/>
        <w:ind w:firstLine="627" w:firstLineChars="200"/>
        <w:rPr>
          <w:rFonts w:hint="default" w:ascii="Times New Roman" w:hAnsi="Times New Roman" w:eastAsia="楷体" w:cs="Times New Roman"/>
          <w:b/>
          <w:color w:val="auto"/>
          <w:spacing w:val="-4"/>
          <w:sz w:val="32"/>
          <w:szCs w:val="32"/>
          <w:highlight w:val="none"/>
        </w:rPr>
      </w:pPr>
      <w:bookmarkStart w:id="3" w:name="_GoBack"/>
      <w:r>
        <w:rPr>
          <w:rFonts w:hint="default" w:ascii="Times New Roman" w:hAnsi="Times New Roman" w:eastAsia="楷体" w:cs="Times New Roman"/>
          <w:b/>
          <w:color w:val="auto"/>
          <w:spacing w:val="-4"/>
          <w:sz w:val="32"/>
          <w:szCs w:val="32"/>
          <w:highlight w:val="none"/>
        </w:rPr>
        <w:t>（一）主要经验及做法</w:t>
      </w:r>
    </w:p>
    <w:p>
      <w:pPr>
        <w:shd w:val="clear"/>
        <w:spacing w:line="600" w:lineRule="exact"/>
        <w:ind w:firstLine="643"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b/>
          <w:bCs/>
          <w:color w:val="auto"/>
          <w:sz w:val="32"/>
          <w:szCs w:val="32"/>
          <w:highlight w:val="none"/>
          <w:lang w:val="en-US" w:eastAsia="zh-CN"/>
        </w:rPr>
        <w:t>一是</w:t>
      </w:r>
      <w:r>
        <w:rPr>
          <w:rFonts w:hint="eastAsia" w:ascii="Times New Roman" w:hAnsi="Times New Roman" w:eastAsia="仿宋_GB2312" w:cs="Times New Roman"/>
          <w:color w:val="auto"/>
          <w:sz w:val="32"/>
          <w:szCs w:val="32"/>
          <w:highlight w:val="none"/>
          <w:lang w:val="en-US" w:eastAsia="zh-CN"/>
        </w:rPr>
        <w:t>高度重视。高度重视中央财政绩效评价工作，积极加强部门之间沟通协调，在总结以往工作经验的基础上，按照财政局通知要求，认真开展绩效自评工作。</w:t>
      </w:r>
    </w:p>
    <w:p>
      <w:pPr>
        <w:shd w:val="clear"/>
        <w:spacing w:line="600" w:lineRule="exact"/>
        <w:ind w:firstLine="643"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b/>
          <w:bCs/>
          <w:color w:val="auto"/>
          <w:sz w:val="32"/>
          <w:szCs w:val="32"/>
          <w:highlight w:val="none"/>
          <w:lang w:val="en-US" w:eastAsia="zh-CN"/>
        </w:rPr>
        <w:t>二是</w:t>
      </w:r>
      <w:r>
        <w:rPr>
          <w:rFonts w:hint="eastAsia" w:ascii="Times New Roman" w:hAnsi="Times New Roman" w:eastAsia="仿宋_GB2312" w:cs="Times New Roman"/>
          <w:color w:val="auto"/>
          <w:sz w:val="32"/>
          <w:szCs w:val="32"/>
          <w:highlight w:val="none"/>
          <w:lang w:val="en-US" w:eastAsia="zh-CN"/>
        </w:rPr>
        <w:t>明确责任。明确了绩效自评工作责任分工和完成时限，并提出了具体要求。</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b/>
          <w:bCs/>
          <w:color w:val="auto"/>
          <w:sz w:val="32"/>
          <w:szCs w:val="32"/>
          <w:highlight w:val="none"/>
          <w:lang w:val="en-US" w:eastAsia="zh-CN"/>
        </w:rPr>
        <w:t>三是</w:t>
      </w:r>
      <w:r>
        <w:rPr>
          <w:rFonts w:hint="eastAsia" w:ascii="Times New Roman" w:hAnsi="Times New Roman" w:eastAsia="仿宋_GB2312" w:cs="Times New Roman"/>
          <w:color w:val="auto"/>
          <w:sz w:val="32"/>
          <w:szCs w:val="32"/>
          <w:highlight w:val="none"/>
          <w:lang w:val="en-US" w:eastAsia="zh-CN"/>
        </w:rPr>
        <w:t>严格监督和管理项目资金。</w:t>
      </w:r>
      <w:r>
        <w:rPr>
          <w:rFonts w:hint="eastAsia" w:eastAsia="仿宋_GB2312" w:cs="Times New Roman"/>
          <w:color w:val="auto"/>
          <w:sz w:val="32"/>
          <w:szCs w:val="32"/>
          <w:highlight w:val="none"/>
          <w:lang w:val="en-US" w:eastAsia="zh-CN"/>
        </w:rPr>
        <w:t>严格按照项目资金用途使用资金，</w:t>
      </w:r>
      <w:r>
        <w:rPr>
          <w:rFonts w:hint="eastAsia" w:eastAsia="仿宋_GB2312" w:cs="Times New Roman"/>
          <w:color w:val="auto"/>
          <w:sz w:val="32"/>
          <w:szCs w:val="32"/>
          <w:highlight w:val="none"/>
          <w:lang w:eastAsia="zh-CN"/>
        </w:rPr>
        <w:t>并建立健全相关制度，包括《库尔勒市退役军人事务局决算管理制度》</w:t>
      </w:r>
      <w:r>
        <w:rPr>
          <w:rFonts w:hint="eastAsia" w:eastAsia="仿宋_GB2312" w:cs="Times New Roman"/>
          <w:color w:val="auto"/>
          <w:sz w:val="32"/>
          <w:szCs w:val="32"/>
          <w:highlight w:val="none"/>
          <w:lang w:val="en-US" w:eastAsia="zh-CN"/>
        </w:rPr>
        <w:t>《库尔勒市退役军人事务局收入管理制度》《库尔勒市退役军人事务局支出管理制度》</w:t>
      </w:r>
      <w:r>
        <w:rPr>
          <w:rFonts w:hint="eastAsia" w:eastAsia="仿宋_GB2312" w:cs="Times New Roman"/>
          <w:color w:val="auto"/>
          <w:sz w:val="32"/>
          <w:szCs w:val="32"/>
          <w:highlight w:val="none"/>
          <w:lang w:eastAsia="zh-CN"/>
        </w:rPr>
        <w:t>《库尔勒市优抚资金分级审核和定量核查工作制度》《退役军人常态化联系制度》等，</w:t>
      </w:r>
      <w:r>
        <w:rPr>
          <w:rFonts w:hint="default" w:ascii="Times New Roman" w:hAnsi="Times New Roman" w:eastAsia="仿宋_GB2312" w:cs="Times New Roman"/>
          <w:color w:val="auto"/>
          <w:sz w:val="32"/>
          <w:szCs w:val="32"/>
          <w:highlight w:val="none"/>
          <w:lang w:eastAsia="zh-CN"/>
        </w:rPr>
        <w:t>对项目的实施情况进行定期检查与评估，及时发现并纠正可能存在的问题</w:t>
      </w:r>
      <w:r>
        <w:rPr>
          <w:rFonts w:hint="eastAsia" w:eastAsia="仿宋_GB2312" w:cs="Times New Roman"/>
          <w:color w:val="auto"/>
          <w:sz w:val="32"/>
          <w:szCs w:val="32"/>
          <w:highlight w:val="none"/>
          <w:lang w:eastAsia="zh-CN"/>
        </w:rPr>
        <w:t>，让项目资金切切实实用于优抚对象生活改善上</w:t>
      </w:r>
      <w:r>
        <w:rPr>
          <w:rFonts w:hint="default" w:ascii="Times New Roman" w:hAnsi="Times New Roman" w:eastAsia="仿宋_GB2312" w:cs="Times New Roman"/>
          <w:color w:val="auto"/>
          <w:sz w:val="32"/>
          <w:szCs w:val="32"/>
          <w:highlight w:val="none"/>
          <w:lang w:eastAsia="zh-CN"/>
        </w:rPr>
        <w:t>。</w:t>
      </w:r>
    </w:p>
    <w:p>
      <w:pPr>
        <w:keepNext/>
        <w:keepLines/>
        <w:numPr>
          <w:ilvl w:val="0"/>
          <w:numId w:val="5"/>
        </w:num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存在的问题及原因分析</w:t>
      </w:r>
    </w:p>
    <w:p>
      <w:pPr>
        <w:shd w:val="clear"/>
        <w:spacing w:line="600" w:lineRule="exact"/>
        <w:ind w:firstLine="643"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b/>
          <w:bCs/>
          <w:color w:val="auto"/>
          <w:sz w:val="32"/>
          <w:szCs w:val="32"/>
          <w:highlight w:val="none"/>
          <w:lang w:val="en-US" w:eastAsia="zh-CN"/>
        </w:rPr>
        <w:t>一是</w:t>
      </w:r>
      <w:r>
        <w:rPr>
          <w:rFonts w:hint="default" w:ascii="Times New Roman" w:hAnsi="Times New Roman" w:eastAsia="仿宋_GB2312" w:cs="Times New Roman"/>
          <w:color w:val="auto"/>
          <w:sz w:val="32"/>
          <w:szCs w:val="32"/>
          <w:highlight w:val="none"/>
          <w:lang w:val="en-US" w:eastAsia="zh-CN"/>
        </w:rPr>
        <w:t>在绩效自评过程中</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缺乏相关绩效管理专业知识，</w:t>
      </w:r>
      <w:r>
        <w:rPr>
          <w:rFonts w:hint="eastAsia" w:ascii="Times New Roman" w:hAnsi="Times New Roman" w:eastAsia="仿宋_GB2312" w:cs="Times New Roman"/>
          <w:color w:val="auto"/>
          <w:sz w:val="32"/>
          <w:szCs w:val="32"/>
          <w:highlight w:val="none"/>
          <w:lang w:val="en-US" w:eastAsia="zh-CN"/>
        </w:rPr>
        <w:t>认知存在偏差，把绩效管理简单等同于工作目标、工作考核和业务管理；</w:t>
      </w:r>
    </w:p>
    <w:p>
      <w:pPr>
        <w:shd w:val="clear"/>
        <w:spacing w:line="600" w:lineRule="exact"/>
        <w:ind w:firstLine="643"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b/>
          <w:bCs/>
          <w:color w:val="auto"/>
          <w:sz w:val="32"/>
          <w:szCs w:val="32"/>
          <w:highlight w:val="none"/>
          <w:lang w:val="en-US" w:eastAsia="zh-CN"/>
        </w:rPr>
        <w:t>二是</w:t>
      </w:r>
      <w:r>
        <w:rPr>
          <w:rFonts w:hint="eastAsia" w:ascii="Times New Roman" w:hAnsi="Times New Roman" w:eastAsia="仿宋_GB2312" w:cs="Times New Roman"/>
          <w:color w:val="auto"/>
          <w:sz w:val="32"/>
          <w:szCs w:val="32"/>
          <w:highlight w:val="none"/>
          <w:lang w:val="en-US" w:eastAsia="zh-CN"/>
        </w:rPr>
        <w:t>资金管理水平有待进一步提高，财务审核还需进一步加强。</w:t>
      </w:r>
    </w:p>
    <w:bookmarkEnd w:id="3"/>
    <w:p>
      <w:pPr>
        <w:spacing w:line="560" w:lineRule="exact"/>
        <w:ind w:firstLine="640" w:firstLineChars="200"/>
        <w:rPr>
          <w:rFonts w:hint="default" w:ascii="Times New Roman" w:hAnsi="Times New Roman" w:eastAsia="黑体" w:cs="Times New Roman"/>
          <w:color w:val="auto"/>
          <w:sz w:val="32"/>
          <w:szCs w:val="32"/>
          <w:highlight w:val="none"/>
        </w:rPr>
      </w:pPr>
      <w:r>
        <w:rPr>
          <w:rFonts w:hint="eastAsia" w:ascii="Times New Roman" w:hAnsi="Times New Roman" w:eastAsia="黑体" w:cs="Times New Roman"/>
          <w:color w:val="auto"/>
          <w:sz w:val="32"/>
          <w:szCs w:val="32"/>
          <w:highlight w:val="none"/>
          <w:lang w:val="en-US" w:eastAsia="zh-CN"/>
        </w:rPr>
        <w:t>六</w:t>
      </w:r>
      <w:r>
        <w:rPr>
          <w:rFonts w:hint="default" w:ascii="Times New Roman" w:hAnsi="Times New Roman" w:eastAsia="黑体" w:cs="Times New Roman"/>
          <w:color w:val="auto"/>
          <w:sz w:val="32"/>
          <w:szCs w:val="32"/>
          <w:highlight w:val="none"/>
          <w:lang w:val="en-US" w:eastAsia="zh-CN"/>
        </w:rPr>
        <w:t>.</w:t>
      </w:r>
      <w:r>
        <w:rPr>
          <w:rFonts w:hint="default" w:ascii="Times New Roman" w:hAnsi="Times New Roman" w:eastAsia="黑体" w:cs="Times New Roman"/>
          <w:color w:val="auto"/>
          <w:sz w:val="32"/>
          <w:szCs w:val="32"/>
          <w:highlight w:val="none"/>
        </w:rPr>
        <w:t>有关建议</w:t>
      </w:r>
    </w:p>
    <w:p>
      <w:pPr>
        <w:shd w:val="clear"/>
        <w:spacing w:line="600" w:lineRule="exact"/>
        <w:ind w:firstLine="643"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b/>
          <w:bCs/>
          <w:color w:val="auto"/>
          <w:sz w:val="32"/>
          <w:szCs w:val="32"/>
          <w:highlight w:val="none"/>
          <w:lang w:val="en-US" w:eastAsia="zh-CN"/>
        </w:rPr>
        <w:t>一是</w:t>
      </w:r>
      <w:r>
        <w:rPr>
          <w:rFonts w:hint="default" w:ascii="Times New Roman" w:hAnsi="Times New Roman" w:eastAsia="仿宋_GB2312" w:cs="Times New Roman"/>
          <w:color w:val="auto"/>
          <w:sz w:val="32"/>
          <w:szCs w:val="32"/>
          <w:highlight w:val="none"/>
          <w:lang w:val="en-US" w:eastAsia="zh-CN"/>
        </w:rPr>
        <w:t>进一步加强对绩效管理工作的组织领导，提高对预算绩效管理工作重要性的认识，总结经验查找问题，抓紧研究制定更全面更完善的绩效评价管理办法</w:t>
      </w:r>
      <w:r>
        <w:rPr>
          <w:rFonts w:hint="eastAsia"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促进绩效管理工作向广度和深度延伸</w:t>
      </w:r>
      <w:r>
        <w:rPr>
          <w:rFonts w:hint="default" w:ascii="Times New Roman" w:hAnsi="Times New Roman" w:eastAsia="仿宋_GB2312" w:cs="Times New Roman"/>
          <w:color w:val="auto"/>
          <w:sz w:val="32"/>
          <w:szCs w:val="32"/>
          <w:highlight w:val="none"/>
          <w:lang w:val="en-US" w:eastAsia="zh-CN"/>
        </w:rPr>
        <w:t>。</w:t>
      </w:r>
    </w:p>
    <w:p>
      <w:pPr>
        <w:shd w:val="clear"/>
        <w:spacing w:line="600" w:lineRule="exact"/>
        <w:ind w:firstLine="643"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eastAsia="仿宋_GB2312" w:cs="Times New Roman"/>
          <w:b/>
          <w:bCs/>
          <w:color w:val="auto"/>
          <w:sz w:val="32"/>
          <w:szCs w:val="32"/>
          <w:highlight w:val="none"/>
          <w:lang w:val="en-US" w:eastAsia="zh-CN"/>
        </w:rPr>
        <w:t>二是</w:t>
      </w:r>
      <w:r>
        <w:rPr>
          <w:rFonts w:hint="eastAsia" w:ascii="Times New Roman" w:hAnsi="Times New Roman" w:eastAsia="仿宋_GB2312" w:cs="Times New Roman"/>
          <w:color w:val="auto"/>
          <w:sz w:val="32"/>
          <w:szCs w:val="32"/>
          <w:highlight w:val="none"/>
          <w:lang w:val="en-US" w:eastAsia="zh-CN"/>
        </w:rPr>
        <w:t>加强财务管理，</w:t>
      </w:r>
      <w:r>
        <w:rPr>
          <w:rFonts w:hint="eastAsia" w:eastAsia="仿宋_GB2312" w:cs="Times New Roman"/>
          <w:color w:val="auto"/>
          <w:sz w:val="32"/>
          <w:szCs w:val="32"/>
          <w:highlight w:val="none"/>
          <w:lang w:val="en-US" w:eastAsia="zh-CN"/>
        </w:rPr>
        <w:t>进一步完善相关制度，</w:t>
      </w:r>
      <w:r>
        <w:rPr>
          <w:rFonts w:hint="eastAsia" w:ascii="Times New Roman" w:hAnsi="Times New Roman" w:eastAsia="仿宋_GB2312" w:cs="Times New Roman"/>
          <w:color w:val="auto"/>
          <w:sz w:val="32"/>
          <w:szCs w:val="32"/>
          <w:highlight w:val="none"/>
          <w:lang w:val="en-US" w:eastAsia="zh-CN"/>
        </w:rPr>
        <w:t>严格按照预算规定</w:t>
      </w:r>
      <w:r>
        <w:rPr>
          <w:rFonts w:hint="eastAsia"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项目用途进行资金</w:t>
      </w:r>
      <w:r>
        <w:rPr>
          <w:rFonts w:hint="eastAsia" w:eastAsia="仿宋_GB2312" w:cs="Times New Roman"/>
          <w:color w:val="auto"/>
          <w:sz w:val="32"/>
          <w:szCs w:val="32"/>
          <w:highlight w:val="none"/>
          <w:lang w:val="en-US" w:eastAsia="zh-CN"/>
        </w:rPr>
        <w:t>支付。</w:t>
      </w:r>
    </w:p>
    <w:p>
      <w:pPr>
        <w:spacing w:line="560" w:lineRule="exact"/>
        <w:ind w:firstLine="640" w:firstLineChars="200"/>
        <w:rPr>
          <w:rFonts w:hint="default" w:ascii="Times New Roman" w:hAnsi="Times New Roman" w:eastAsia="黑体" w:cs="Times New Roman"/>
          <w:color w:val="auto"/>
          <w:sz w:val="32"/>
          <w:szCs w:val="32"/>
          <w:highlight w:val="none"/>
        </w:rPr>
      </w:pPr>
      <w:r>
        <w:rPr>
          <w:rFonts w:hint="eastAsia" w:eastAsia="黑体" w:cs="Times New Roman"/>
          <w:color w:val="auto"/>
          <w:sz w:val="32"/>
          <w:szCs w:val="32"/>
          <w:highlight w:val="none"/>
          <w:lang w:val="en-US" w:eastAsia="zh-CN"/>
        </w:rPr>
        <w:t>七</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黑体" w:cs="Times New Roman"/>
          <w:color w:val="auto"/>
          <w:sz w:val="32"/>
          <w:szCs w:val="32"/>
          <w:highlight w:val="none"/>
        </w:rPr>
        <w:t>其他需要说</w:t>
      </w:r>
      <w:bookmarkStart w:id="0" w:name="page8"/>
      <w:bookmarkEnd w:id="0"/>
      <w:r>
        <w:rPr>
          <w:rFonts w:hint="default" w:ascii="Times New Roman" w:hAnsi="Times New Roman" w:eastAsia="黑体" w:cs="Times New Roman"/>
          <w:color w:val="auto"/>
          <w:sz w:val="32"/>
          <w:szCs w:val="32"/>
          <w:highlight w:val="none"/>
        </w:rPr>
        <w:t>明的问题</w:t>
      </w:r>
    </w:p>
    <w:p>
      <w:pPr>
        <w:pStyle w:val="13"/>
        <w:spacing w:after="0" w:line="560" w:lineRule="exact"/>
        <w:ind w:left="0" w:leftChars="0" w:firstLine="640"/>
        <w:rPr>
          <w:rFonts w:hint="default" w:ascii="Times New Roman" w:hAnsi="Times New Roman" w:eastAsia="仿宋_GB2312" w:cs="Times New Roman"/>
          <w:color w:val="auto"/>
          <w:sz w:val="32"/>
          <w:szCs w:val="32"/>
          <w:highlight w:val="none"/>
          <w:lang w:eastAsia="zh-Hans"/>
        </w:rPr>
      </w:pPr>
      <w:r>
        <w:rPr>
          <w:rFonts w:hint="default" w:ascii="Times New Roman" w:hAnsi="Times New Roman" w:eastAsia="仿宋_GB2312" w:cs="Times New Roman"/>
          <w:color w:val="auto"/>
          <w:sz w:val="32"/>
          <w:szCs w:val="32"/>
          <w:highlight w:val="none"/>
          <w:lang w:eastAsia="zh-Hans"/>
        </w:rPr>
        <w:t>本项目无其他需说明的问题。</w:t>
      </w:r>
    </w:p>
    <w:p>
      <w:pPr>
        <w:rPr>
          <w:rFonts w:hint="default" w:ascii="Times New Roman" w:hAnsi="Times New Roman" w:eastAsia="仿宋_GB2312" w:cs="Times New Roman"/>
          <w:color w:val="auto"/>
          <w:sz w:val="32"/>
          <w:szCs w:val="32"/>
          <w:highlight w:val="none"/>
          <w:lang w:eastAsia="zh-Hans"/>
        </w:rPr>
      </w:pPr>
      <w:r>
        <w:rPr>
          <w:rFonts w:hint="default" w:ascii="Times New Roman" w:hAnsi="Times New Roman" w:eastAsia="仿宋_GB2312" w:cs="Times New Roman"/>
          <w:color w:val="auto"/>
          <w:sz w:val="32"/>
          <w:szCs w:val="32"/>
          <w:highlight w:val="none"/>
          <w:lang w:eastAsia="zh-Hans"/>
        </w:rPr>
        <w:br w:type="page"/>
      </w:r>
    </w:p>
    <w:p>
      <w:pPr>
        <w:spacing w:line="600" w:lineRule="exact"/>
        <w:rPr>
          <w:rFonts w:hint="eastAsia" w:ascii="Times New Roman" w:hAnsi="Times New Roman" w:eastAsia="黑体" w:cs="Times New Roman"/>
          <w:color w:val="auto"/>
          <w:sz w:val="32"/>
          <w:szCs w:val="32"/>
          <w:highlight w:val="none"/>
          <w:lang w:val="en-US" w:eastAsia="zh-CN"/>
        </w:rPr>
        <w:sectPr>
          <w:footerReference r:id="rId3" w:type="default"/>
          <w:pgSz w:w="11906" w:h="16838"/>
          <w:pgMar w:top="1440" w:right="1558" w:bottom="1440" w:left="1800" w:header="851" w:footer="992" w:gutter="0"/>
          <w:cols w:space="425" w:num="1"/>
          <w:docGrid w:type="lines" w:linePitch="312" w:charSpace="0"/>
        </w:sectPr>
      </w:pPr>
    </w:p>
    <w:p>
      <w:pPr>
        <w:spacing w:line="600" w:lineRule="exact"/>
        <w:rPr>
          <w:rFonts w:hint="eastAsia" w:eastAsia="黑体" w:cs="Times New Roman"/>
          <w:color w:val="auto"/>
          <w:sz w:val="32"/>
          <w:szCs w:val="32"/>
          <w:highlight w:val="none"/>
          <w:lang w:val="en-US" w:eastAsia="zh-CN"/>
        </w:rPr>
      </w:pPr>
      <w:r>
        <w:rPr>
          <w:rFonts w:hint="eastAsia" w:ascii="Times New Roman" w:hAnsi="Times New Roman" w:eastAsia="黑体" w:cs="Times New Roman"/>
          <w:color w:val="auto"/>
          <w:sz w:val="32"/>
          <w:szCs w:val="32"/>
          <w:highlight w:val="none"/>
          <w:lang w:val="en-US" w:eastAsia="zh-CN"/>
        </w:rPr>
        <w:t>附件</w:t>
      </w:r>
      <w:r>
        <w:rPr>
          <w:rFonts w:hint="eastAsia" w:eastAsia="黑体" w:cs="Times New Roman"/>
          <w:color w:val="auto"/>
          <w:sz w:val="32"/>
          <w:szCs w:val="32"/>
          <w:highlight w:val="none"/>
          <w:lang w:val="en-US" w:eastAsia="zh-CN"/>
        </w:rPr>
        <w:t>1</w:t>
      </w:r>
    </w:p>
    <w:p>
      <w:pPr>
        <w:pStyle w:val="19"/>
        <w:ind w:firstLine="562"/>
        <w:jc w:val="center"/>
        <w:rPr>
          <w:rFonts w:hint="default" w:ascii="仿宋_GB2312" w:hAnsi="仿宋_GB2312" w:eastAsia="仿宋_GB2312" w:cs="仿宋_GB2312"/>
          <w:b/>
          <w:bCs/>
          <w:color w:val="auto"/>
          <w:sz w:val="28"/>
          <w:szCs w:val="40"/>
          <w:highlight w:val="none"/>
        </w:rPr>
      </w:pPr>
      <w:bookmarkStart w:id="1" w:name="_Toc26499_WPSOffice_Level2"/>
      <w:bookmarkStart w:id="2" w:name="_Toc30064_WPSOffice_Level1"/>
      <w:r>
        <w:rPr>
          <w:rFonts w:hint="default" w:ascii="仿宋_GB2312" w:hAnsi="仿宋_GB2312" w:eastAsia="仿宋_GB2312" w:cs="仿宋_GB2312"/>
          <w:b/>
          <w:bCs/>
          <w:color w:val="auto"/>
          <w:sz w:val="28"/>
          <w:szCs w:val="40"/>
          <w:highlight w:val="none"/>
        </w:rPr>
        <w:t>巴财社[2023]59号</w:t>
      </w:r>
      <w:r>
        <w:rPr>
          <w:rFonts w:hint="eastAsia" w:ascii="仿宋_GB2312" w:hAnsi="仿宋_GB2312" w:eastAsia="仿宋_GB2312" w:cs="仿宋_GB2312"/>
          <w:b/>
          <w:bCs/>
          <w:color w:val="auto"/>
          <w:sz w:val="28"/>
          <w:szCs w:val="40"/>
          <w:highlight w:val="none"/>
          <w:lang w:val="en-US" w:eastAsia="zh-CN"/>
        </w:rPr>
        <w:t xml:space="preserve"> </w:t>
      </w:r>
      <w:r>
        <w:rPr>
          <w:rFonts w:hint="default" w:ascii="仿宋_GB2312" w:hAnsi="仿宋_GB2312" w:eastAsia="仿宋_GB2312" w:cs="仿宋_GB2312"/>
          <w:b/>
          <w:bCs/>
          <w:color w:val="auto"/>
          <w:sz w:val="28"/>
          <w:szCs w:val="40"/>
          <w:highlight w:val="none"/>
        </w:rPr>
        <w:t>提前下达2024年中央财政优抚对象补助经费预算[第一批]的通知</w:t>
      </w:r>
    </w:p>
    <w:p>
      <w:pPr>
        <w:pStyle w:val="19"/>
        <w:ind w:firstLine="562"/>
        <w:jc w:val="center"/>
        <w:rPr>
          <w:rFonts w:hint="eastAsia" w:ascii="仿宋_GB2312" w:hAnsi="仿宋_GB2312" w:eastAsia="仿宋_GB2312" w:cs="仿宋_GB2312"/>
          <w:color w:val="auto"/>
          <w:sz w:val="28"/>
          <w:szCs w:val="40"/>
          <w:highlight w:val="none"/>
        </w:rPr>
      </w:pPr>
      <w:r>
        <w:rPr>
          <w:rFonts w:hint="eastAsia" w:ascii="仿宋_GB2312" w:hAnsi="仿宋_GB2312" w:eastAsia="仿宋_GB2312" w:cs="仿宋_GB2312"/>
          <w:b/>
          <w:bCs/>
          <w:color w:val="auto"/>
          <w:sz w:val="28"/>
          <w:szCs w:val="40"/>
          <w:highlight w:val="none"/>
        </w:rPr>
        <w:t>项目绩效评价指标体系及综合评分表</w:t>
      </w:r>
      <w:bookmarkEnd w:id="1"/>
      <w:bookmarkEnd w:id="2"/>
    </w:p>
    <w:tbl>
      <w:tblPr>
        <w:tblStyle w:val="14"/>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一级指标</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二级指标</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三级指标</w:t>
            </w:r>
          </w:p>
        </w:tc>
        <w:tc>
          <w:tcPr>
            <w:tcW w:w="680"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指标解释</w:t>
            </w:r>
          </w:p>
        </w:tc>
        <w:tc>
          <w:tcPr>
            <w:tcW w:w="2055"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指标说明</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权重</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决策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项目立项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立项依据</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充分性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项目立项是否符合法律法规、相关政策、发展规划以及部门职责，用以反映和考核项目立项依据情况。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②项目立项是否符合行业发展规划和政策要求；</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③项目立项是否与部门职责范围相符，属于部门履职所需；</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⑤项目是否与相关部门同类项目或部门内部相关项目重复。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立项程序</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规范性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项目申请、设立过程是否符合相关要求，用以反映和考核项目立项的规范情况。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①项目是否按照规定的程序申请设立；</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②审批文件、材料是否符合相关要求；</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绩效目标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绩效目标</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合理性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项目所设定的绩效目标是否依据充分，是否符合客观实际，用以反映和考核项目绩效目标与项目实施的相符情况。</w:t>
            </w:r>
          </w:p>
        </w:tc>
        <w:tc>
          <w:tcPr>
            <w:tcW w:w="2055" w:type="pct"/>
            <w:shd w:val="clear" w:color="000000" w:fill="FFFFFF"/>
            <w:vAlign w:val="center"/>
          </w:tcPr>
          <w:p>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（如未设定预算绩效目标，也可考核其他工作任务目标）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①项目是否有绩效目标；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②项目绩效目标与实际工作内容是否具有相关性；</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③项目预期产出效益和效果是否符合正常的业绩水平；</w:t>
            </w:r>
          </w:p>
          <w:p>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④是否与预算确定的项目投资额或资金量相匹配。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绩效指标</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明确性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依据绩效目标设定的绩效指标是否清晰、细化、可衡量等，用以反映和考核项目绩效目标的明细化情况。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①是否将项目绩效目标细化分解为具体的绩效指标；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②是否通过清晰、可衡量的指标值予以体现；</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③是否与项目目标任务数或计划数相对应。</w:t>
            </w:r>
            <w:r>
              <w:rPr>
                <w:rFonts w:hint="default" w:ascii="Times New Roman" w:hAnsi="Times New Roman" w:eastAsia="仿宋_GB2312" w:cs="Times New Roman"/>
                <w:color w:val="auto"/>
                <w:kern w:val="0"/>
                <w:sz w:val="18"/>
                <w:szCs w:val="18"/>
                <w:highlight w:val="none"/>
              </w:rPr>
              <w:br w:type="textWrapping"/>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资金投入</w:t>
            </w:r>
          </w:p>
          <w:p>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预算编制</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科学性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①预算编制是否经过科学论证；</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②预算内容与项目内容是否匹配；</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③预算额度测算依据是否充分，是否按照标准编制；</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④预算确定的项目投资额或资金量是否与工作任务相匹配。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资金分配</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①预算资金分配依据是否充分；</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②资金分配额度是否合理，与项目单位或地方实际是否相适应。</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过程</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资金到位率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实际到位资金与预算资金的比率，用以反映和考核资金落实情况对项目实施的总体保障程度。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资金到位率=（实际到位资金/预算资金）×100%。</w:t>
            </w:r>
          </w:p>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实际到位资金：一定时期（本年度或项目期）内落实到具体项目的资金。</w:t>
            </w:r>
          </w:p>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预算资金：一定时期（本年度或项目期）内预算安排到具体项目的资金。</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预算执行率</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项目预算资金是否按照计划执行，用以反映或考核项目预算执行情况。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预算执行率=（实际支出资金/实际到位资金）×100%。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实际支出资金：一定时期（本年度或项目期）内项目实际拨付的资金。</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资金使用</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合规性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项目资金使用是否符合相关的财务管理制度规定，用以反映和考核项目资金的规范运行情况。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②资金的拨付是否有完整的审批程序和手续；</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③是否符合项目预算批复或合同规定的用途；</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④是否存在截留、挤占、挪用、虚列支出等情况。</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组织实施</w:t>
            </w:r>
          </w:p>
          <w:p>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管理制度</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健全性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项目实施单位的财务和业务管理制度是否健全，用以反映和考核财务和业务管理制度对项目顺利实施的保障情况。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①是否已制定或具有相应的财务和业务管理制度；</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②财务和业务管理制度是否合法、合规、完整。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制度执行</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有效性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项目实施是否符合相关管理规定，用以反映和考核相关管理制度的有效执行情况。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①是否遵守相关法律法规和相关管理规定；</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②项目调整及支出调整手续是否完备；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③项目合同书、验收报告、技术鉴定等资料是否齐全并及时归档；</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④项目实施的人员条件、场地设备、信息支撑等是否落实到位。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产出数量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项目实施的实际产出数与计划产出数的比率，用以反映和考核项目产出数量目标的实现程度。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实际完成率=（实际产出数/计划产出数）×100%。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产出质量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项目完成的质量达标产出数与实际产出数的比率，用以反映和考核项目产出质量目标的实现程度。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质量达标率=（质量达标产出数/实际产出数）×100%。</w:t>
            </w:r>
          </w:p>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产出时效</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完成及时性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项目实际完成时间与计划完成时间的比较，用以反映和考核项目产出时效目标的实现程度。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实际完成时间：项目实施单位完成该项目实际所耗用的时间。</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计划完成时间：按照项目实施计划或相关规定完成该项目所需的时间。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产出成本</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成本节约率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完成项目计划工作目标的实际节约成本与计划成本的比率，用以反映和考核项目的成本节约程度。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成本节约率=[（计划成本-实际成本）/计划成本]×100%。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9.93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效益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项目效益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实施效益</w:t>
            </w:r>
          </w:p>
        </w:tc>
        <w:tc>
          <w:tcPr>
            <w:tcW w:w="680" w:type="pct"/>
            <w:shd w:val="clear" w:color="auto" w:fill="FFFFFF"/>
            <w:vAlign w:val="center"/>
          </w:tcPr>
          <w:p>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项目实施所产生的效益。</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满意度</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社会公众或服务对象对项目实施效果的满意程度。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bl>
    <w:p>
      <w:pPr>
        <w:rPr>
          <w:rFonts w:hint="default" w:ascii="Times New Roman" w:hAnsi="Times New Roman" w:cs="Times New Roman"/>
          <w:color w:val="auto"/>
          <w:highlight w:val="none"/>
        </w:rPr>
        <w:sectPr>
          <w:pgSz w:w="16838" w:h="11906" w:orient="landscape"/>
          <w:pgMar w:top="1800" w:right="1440" w:bottom="1558" w:left="1440" w:header="851" w:footer="992" w:gutter="0"/>
          <w:cols w:space="425" w:num="1"/>
          <w:docGrid w:type="lines" w:linePitch="312" w:charSpace="0"/>
        </w:sectPr>
      </w:pPr>
    </w:p>
    <w:p>
      <w:pPr>
        <w:spacing w:line="600" w:lineRule="exact"/>
        <w:rPr>
          <w:rFonts w:hint="eastAsia" w:eastAsia="黑体" w:cs="Times New Roman"/>
          <w:color w:val="auto"/>
          <w:sz w:val="32"/>
          <w:szCs w:val="32"/>
          <w:highlight w:val="none"/>
          <w:lang w:val="en-US" w:eastAsia="zh-CN"/>
        </w:rPr>
      </w:pPr>
      <w:r>
        <w:rPr>
          <w:rFonts w:hint="eastAsia" w:ascii="Times New Roman" w:hAnsi="Times New Roman" w:eastAsia="黑体" w:cs="Times New Roman"/>
          <w:color w:val="auto"/>
          <w:sz w:val="32"/>
          <w:szCs w:val="32"/>
          <w:highlight w:val="none"/>
          <w:lang w:val="en-US" w:eastAsia="zh-CN"/>
        </w:rPr>
        <w:t>附件</w:t>
      </w:r>
      <w:r>
        <w:rPr>
          <w:rFonts w:hint="eastAsia" w:eastAsia="黑体" w:cs="Times New Roman"/>
          <w:color w:val="auto"/>
          <w:sz w:val="32"/>
          <w:szCs w:val="32"/>
          <w:highlight w:val="none"/>
          <w:lang w:val="en-US" w:eastAsia="zh-CN"/>
        </w:rPr>
        <w:t>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auto"/>
          <w:kern w:val="0"/>
          <w:sz w:val="28"/>
          <w:szCs w:val="28"/>
          <w:highlight w:val="none"/>
          <w:u w:val="none"/>
          <w:lang w:val="en-US" w:eastAsia="zh-CN" w:bidi="ar"/>
        </w:rPr>
      </w:pPr>
      <w:r>
        <w:rPr>
          <w:rFonts w:hint="eastAsia" w:ascii="仿宋_GB2312" w:hAnsi="仿宋_GB2312" w:eastAsia="仿宋_GB2312" w:cs="仿宋_GB2312"/>
          <w:b/>
          <w:bCs/>
          <w:i w:val="0"/>
          <w:iCs w:val="0"/>
          <w:color w:val="auto"/>
          <w:kern w:val="0"/>
          <w:sz w:val="28"/>
          <w:szCs w:val="28"/>
          <w:highlight w:val="none"/>
          <w:u w:val="none"/>
          <w:lang w:val="en-US" w:eastAsia="zh-CN" w:bidi="ar"/>
        </w:rPr>
        <w:t>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auto"/>
          <w:kern w:val="0"/>
          <w:sz w:val="22"/>
          <w:szCs w:val="22"/>
          <w:highlight w:val="none"/>
          <w:u w:val="none"/>
          <w:lang w:val="en-US" w:eastAsia="zh-CN" w:bidi="ar"/>
        </w:rPr>
      </w:pPr>
      <w:r>
        <w:rPr>
          <w:rFonts w:hint="default" w:ascii="Times New Roman" w:hAnsi="Times New Roman" w:eastAsia="仿宋_GB2312" w:cs="Times New Roman"/>
          <w:b/>
          <w:bCs/>
          <w:i w:val="0"/>
          <w:iCs w:val="0"/>
          <w:color w:val="auto"/>
          <w:kern w:val="0"/>
          <w:sz w:val="22"/>
          <w:szCs w:val="22"/>
          <w:highlight w:val="none"/>
          <w:u w:val="none"/>
          <w:lang w:val="en-US" w:eastAsia="zh-CN" w:bidi="ar"/>
        </w:rPr>
        <w:t>（ 2024年度）</w:t>
      </w:r>
    </w:p>
    <w:tbl>
      <w:tblPr>
        <w:tblStyle w:val="14"/>
        <w:tblW w:w="4522"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58"/>
        <w:gridCol w:w="667"/>
        <w:gridCol w:w="659"/>
        <w:gridCol w:w="1639"/>
        <w:gridCol w:w="1200"/>
        <w:gridCol w:w="1233"/>
        <w:gridCol w:w="674"/>
        <w:gridCol w:w="659"/>
        <w:gridCol w:w="687"/>
        <w:gridCol w:w="659"/>
        <w:gridCol w:w="1028"/>
        <w:gridCol w:w="815"/>
        <w:gridCol w:w="772"/>
        <w:gridCol w:w="14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5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项目名称</w:t>
            </w:r>
          </w:p>
        </w:tc>
        <w:tc>
          <w:tcPr>
            <w:tcW w:w="4483"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巴财社[2023]59号 提前下达2024年中央财政优抚对象补助经费预算[第一批]的通知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5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主管部门</w:t>
            </w:r>
          </w:p>
        </w:tc>
        <w:tc>
          <w:tcPr>
            <w:tcW w:w="210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库尔勒市退役军人事务局</w:t>
            </w:r>
          </w:p>
        </w:tc>
        <w:tc>
          <w:tcPr>
            <w:tcW w:w="5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实施单位</w:t>
            </w:r>
          </w:p>
        </w:tc>
        <w:tc>
          <w:tcPr>
            <w:tcW w:w="18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库尔勒市退役军人事务局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51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项目资金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（万元）</w:t>
            </w:r>
          </w:p>
        </w:tc>
        <w:tc>
          <w:tcPr>
            <w:tcW w:w="8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资金来源</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年初预算数</w:t>
            </w: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全年预算数</w:t>
            </w:r>
          </w:p>
        </w:tc>
        <w:tc>
          <w:tcPr>
            <w:tcW w:w="5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全年执行数</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分值权重</w:t>
            </w:r>
          </w:p>
        </w:tc>
        <w:tc>
          <w:tcPr>
            <w:tcW w:w="6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执行率</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5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年度资金总额</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1093.20</w:t>
            </w: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1093.20</w:t>
            </w:r>
          </w:p>
        </w:tc>
        <w:tc>
          <w:tcPr>
            <w:tcW w:w="5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1093.20</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6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100.00%</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5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其中：当年财政拨款</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1093.2</w:t>
            </w: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1093.20</w:t>
            </w:r>
          </w:p>
        </w:tc>
        <w:tc>
          <w:tcPr>
            <w:tcW w:w="5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1093.20</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6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5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8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其他资金</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0.00</w:t>
            </w: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0.00</w:t>
            </w:r>
          </w:p>
        </w:tc>
        <w:tc>
          <w:tcPr>
            <w:tcW w:w="5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6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年度总体目标</w:t>
            </w:r>
          </w:p>
        </w:tc>
        <w:tc>
          <w:tcPr>
            <w:tcW w:w="289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总体目标</w:t>
            </w:r>
          </w:p>
        </w:tc>
        <w:tc>
          <w:tcPr>
            <w:tcW w:w="18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289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目标1：为818名优抚对象发放生活补助资金；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目标2：通过发放优抚对象生活补助，保障优抚对象生活得到有效改善。</w:t>
            </w:r>
          </w:p>
        </w:tc>
        <w:tc>
          <w:tcPr>
            <w:tcW w:w="18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完成</w:t>
            </w:r>
            <w:r>
              <w:rPr>
                <w:rFonts w:hint="eastAsia" w:ascii="宋体" w:hAnsi="宋体" w:eastAsia="宋体" w:cs="宋体"/>
                <w:i w:val="0"/>
                <w:iCs w:val="0"/>
                <w:color w:val="auto"/>
                <w:kern w:val="0"/>
                <w:sz w:val="18"/>
                <w:szCs w:val="18"/>
                <w:highlight w:val="none"/>
                <w:u w:val="none"/>
                <w:lang w:val="en-US" w:eastAsia="zh-CN" w:bidi="ar"/>
              </w:rPr>
              <w:t>为824名优抚对象发放生活补助资金，保障优抚对象生活得到了有效改善。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一级指标</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二级指标</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三级指标</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指标值</w:t>
            </w: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指标值设置依据</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上年完成值</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指标分值权重</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指标赋分规则</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佐证资料</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指标实际完成值</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完成率</w:t>
            </w: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指标得分</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年度绩效指标完成情况</w:t>
            </w:r>
          </w:p>
        </w:tc>
        <w:tc>
          <w:tcPr>
            <w:tcW w:w="2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产出指标</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数量指标</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优抚生活补助人数</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&gt;=818人</w:t>
            </w: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按照正常比例赋分</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=824人</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100.73%</w:t>
            </w: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18"/>
                <w:szCs w:val="18"/>
                <w:highlight w:val="none"/>
                <w:u w:val="none"/>
                <w:lang w:val="en-US"/>
              </w:rPr>
            </w:pPr>
            <w:r>
              <w:rPr>
                <w:rFonts w:hint="eastAsia" w:ascii="宋体" w:hAnsi="宋体" w:cs="宋体"/>
                <w:i w:val="0"/>
                <w:iCs w:val="0"/>
                <w:color w:val="auto"/>
                <w:kern w:val="0"/>
                <w:sz w:val="18"/>
                <w:szCs w:val="18"/>
                <w:highlight w:val="none"/>
                <w:u w:val="none"/>
                <w:lang w:val="en-US" w:eastAsia="zh-CN" w:bidi="ar"/>
              </w:rPr>
              <w:t>9.93</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偏差原因：</w:t>
            </w:r>
            <w:r>
              <w:rPr>
                <w:rFonts w:hint="eastAsia" w:ascii="宋体" w:hAnsi="宋体" w:eastAsia="宋体" w:cs="宋体"/>
                <w:i w:val="0"/>
                <w:iCs w:val="0"/>
                <w:color w:val="auto"/>
                <w:kern w:val="0"/>
                <w:sz w:val="18"/>
                <w:szCs w:val="18"/>
                <w:highlight w:val="none"/>
                <w:u w:val="none"/>
                <w:lang w:val="en-US" w:eastAsia="zh-CN" w:bidi="ar"/>
              </w:rPr>
              <w:t>符合享受优抚对象生活补助人数本年增加。</w:t>
            </w:r>
            <w:r>
              <w:rPr>
                <w:rFonts w:hint="eastAsia" w:ascii="宋体" w:hAnsi="宋体" w:cs="宋体"/>
                <w:i w:val="0"/>
                <w:iCs w:val="0"/>
                <w:color w:val="auto"/>
                <w:kern w:val="0"/>
                <w:sz w:val="18"/>
                <w:szCs w:val="18"/>
                <w:highlight w:val="none"/>
                <w:u w:val="none"/>
                <w:lang w:val="en-US" w:eastAsia="zh-CN" w:bidi="ar"/>
              </w:rPr>
              <w:t>改进措施：继续细化预算编制。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3"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质量指标</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优抚对象生活补助标准按规定执行率</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&gt;=95%</w:t>
            </w: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按照正常比例赋分</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kern w:val="0"/>
                <w:sz w:val="20"/>
                <w:szCs w:val="20"/>
                <w:highlight w:val="none"/>
                <w:u w:val="none"/>
                <w:lang w:val="en-US" w:eastAsia="zh-CN" w:bidi="ar"/>
              </w:rPr>
              <w:t>100</w:t>
            </w:r>
            <w:r>
              <w:rPr>
                <w:rFonts w:hint="eastAsia" w:ascii="宋体" w:hAnsi="宋体" w:eastAsia="宋体" w:cs="宋体"/>
                <w:i w:val="0"/>
                <w:iCs w:val="0"/>
                <w:color w:val="auto"/>
                <w:kern w:val="0"/>
                <w:sz w:val="20"/>
                <w:szCs w:val="20"/>
                <w:highlight w:val="none"/>
                <w:u w:val="none"/>
                <w:lang w:val="en-US" w:eastAsia="zh-CN" w:bidi="ar"/>
              </w:rPr>
              <w:t>%</w:t>
            </w: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8"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质量指标</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优抚对象生活补助政策知晓率</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&gt;=95%</w:t>
            </w: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按照正常比例赋分</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kern w:val="0"/>
                <w:sz w:val="20"/>
                <w:szCs w:val="20"/>
                <w:highlight w:val="none"/>
                <w:u w:val="none"/>
                <w:lang w:val="en-US" w:eastAsia="zh-CN" w:bidi="ar"/>
              </w:rPr>
              <w:t>100</w:t>
            </w:r>
            <w:r>
              <w:rPr>
                <w:rFonts w:hint="eastAsia" w:ascii="宋体" w:hAnsi="宋体" w:eastAsia="宋体" w:cs="宋体"/>
                <w:i w:val="0"/>
                <w:iCs w:val="0"/>
                <w:color w:val="auto"/>
                <w:kern w:val="0"/>
                <w:sz w:val="20"/>
                <w:szCs w:val="20"/>
                <w:highlight w:val="none"/>
                <w:u w:val="none"/>
                <w:lang w:val="en-US" w:eastAsia="zh-CN" w:bidi="ar"/>
              </w:rPr>
              <w:t>%</w:t>
            </w: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8"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时效指标</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资金支付及时率</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&gt;=95%</w:t>
            </w: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按照正常比例赋分</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成本指标</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经济成本指标</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优抚对象生活补助人均支出成本</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&lt;=13364.30元/人</w:t>
            </w: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按照正常比例赋分</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原始凭证</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=13266.99元/人</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99.27%</w:t>
            </w: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18"/>
                <w:szCs w:val="18"/>
                <w:highlight w:val="none"/>
                <w:u w:val="none"/>
                <w:lang w:val="en-US"/>
              </w:rPr>
            </w:pPr>
            <w:r>
              <w:rPr>
                <w:rFonts w:hint="eastAsia" w:ascii="宋体" w:hAnsi="宋体" w:eastAsia="宋体" w:cs="宋体"/>
                <w:i w:val="0"/>
                <w:iCs w:val="0"/>
                <w:color w:val="auto"/>
                <w:kern w:val="0"/>
                <w:sz w:val="18"/>
                <w:szCs w:val="18"/>
                <w:highlight w:val="none"/>
                <w:u w:val="none"/>
                <w:lang w:val="en-US" w:eastAsia="zh-CN" w:bidi="ar"/>
              </w:rPr>
              <w:t>19.</w:t>
            </w:r>
            <w:r>
              <w:rPr>
                <w:rFonts w:hint="eastAsia" w:ascii="宋体" w:hAnsi="宋体" w:cs="宋体"/>
                <w:i w:val="0"/>
                <w:iCs w:val="0"/>
                <w:color w:val="auto"/>
                <w:kern w:val="0"/>
                <w:sz w:val="18"/>
                <w:szCs w:val="18"/>
                <w:highlight w:val="none"/>
                <w:u w:val="none"/>
                <w:lang w:val="en-US" w:eastAsia="zh-CN" w:bidi="ar"/>
              </w:rPr>
              <w:t>63</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偏差原因：</w:t>
            </w:r>
            <w:r>
              <w:rPr>
                <w:rFonts w:hint="eastAsia" w:ascii="宋体" w:hAnsi="宋体" w:eastAsia="宋体" w:cs="宋体"/>
                <w:i w:val="0"/>
                <w:iCs w:val="0"/>
                <w:color w:val="auto"/>
                <w:kern w:val="0"/>
                <w:sz w:val="18"/>
                <w:szCs w:val="18"/>
                <w:highlight w:val="none"/>
                <w:u w:val="none"/>
                <w:lang w:val="en-US" w:eastAsia="zh-CN" w:bidi="ar"/>
              </w:rPr>
              <w:t>优抚对象人数实际值大于目标值导致人均支出成本降低。</w:t>
            </w:r>
            <w:r>
              <w:rPr>
                <w:rFonts w:hint="eastAsia" w:ascii="宋体" w:hAnsi="宋体" w:cs="宋体"/>
                <w:i w:val="0"/>
                <w:iCs w:val="0"/>
                <w:color w:val="auto"/>
                <w:kern w:val="0"/>
                <w:sz w:val="18"/>
                <w:szCs w:val="18"/>
                <w:highlight w:val="none"/>
                <w:u w:val="none"/>
                <w:lang w:val="en-US" w:eastAsia="zh-CN" w:bidi="ar"/>
              </w:rPr>
              <w:t>改进措施：继续细化预算编制。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效益指标</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社会效益指标</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生活得到有效改善优抚对象人数</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&gt;=818人</w:t>
            </w: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按照正常比例赋分</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=824人</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100.73%</w:t>
            </w: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18"/>
                <w:szCs w:val="18"/>
                <w:highlight w:val="none"/>
                <w:u w:val="none"/>
                <w:lang w:val="en-US"/>
              </w:rPr>
            </w:pPr>
            <w:r>
              <w:rPr>
                <w:rFonts w:hint="eastAsia" w:ascii="宋体" w:hAnsi="宋体" w:cs="宋体"/>
                <w:i w:val="0"/>
                <w:iCs w:val="0"/>
                <w:color w:val="auto"/>
                <w:kern w:val="0"/>
                <w:sz w:val="18"/>
                <w:szCs w:val="18"/>
                <w:highlight w:val="none"/>
                <w:u w:val="none"/>
                <w:lang w:val="en-US" w:eastAsia="zh-CN" w:bidi="ar"/>
              </w:rPr>
              <w:t>19.85</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偏差原因：</w:t>
            </w:r>
            <w:r>
              <w:rPr>
                <w:rFonts w:hint="eastAsia" w:ascii="宋体" w:hAnsi="宋体" w:eastAsia="宋体" w:cs="宋体"/>
                <w:i w:val="0"/>
                <w:iCs w:val="0"/>
                <w:color w:val="auto"/>
                <w:kern w:val="0"/>
                <w:sz w:val="18"/>
                <w:szCs w:val="18"/>
                <w:highlight w:val="none"/>
                <w:u w:val="none"/>
                <w:lang w:val="en-US" w:eastAsia="zh-CN" w:bidi="ar"/>
              </w:rPr>
              <w:t>符合享受优抚对象生活补助人数本年增加。</w:t>
            </w:r>
            <w:r>
              <w:rPr>
                <w:rFonts w:hint="eastAsia" w:ascii="宋体" w:hAnsi="宋体" w:cs="宋体"/>
                <w:i w:val="0"/>
                <w:iCs w:val="0"/>
                <w:color w:val="auto"/>
                <w:kern w:val="0"/>
                <w:sz w:val="18"/>
                <w:szCs w:val="18"/>
                <w:highlight w:val="none"/>
                <w:u w:val="none"/>
                <w:lang w:val="en-US" w:eastAsia="zh-CN" w:bidi="ar"/>
              </w:rPr>
              <w:t>改进措施：继续细化预算编制。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满意度指标</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满意度指标</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优抚生活补助对象满意度</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&gt;=95%</w:t>
            </w: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满意度赋分</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41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总分</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auto"/>
                <w:sz w:val="18"/>
                <w:szCs w:val="18"/>
                <w:highlight w:val="none"/>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99.</w:t>
            </w:r>
            <w:r>
              <w:rPr>
                <w:rFonts w:hint="eastAsia" w:ascii="宋体" w:hAnsi="宋体" w:cs="宋体"/>
                <w:i w:val="0"/>
                <w:iCs w:val="0"/>
                <w:color w:val="auto"/>
                <w:kern w:val="0"/>
                <w:sz w:val="18"/>
                <w:szCs w:val="18"/>
                <w:highlight w:val="none"/>
                <w:u w:val="none"/>
                <w:lang w:val="en-US" w:eastAsia="zh-CN" w:bidi="ar"/>
              </w:rPr>
              <w:t>41</w:t>
            </w:r>
            <w:r>
              <w:rPr>
                <w:rFonts w:hint="eastAsia" w:ascii="宋体" w:hAnsi="宋体" w:eastAsia="宋体" w:cs="宋体"/>
                <w:i w:val="0"/>
                <w:iCs w:val="0"/>
                <w:color w:val="auto"/>
                <w:kern w:val="0"/>
                <w:sz w:val="18"/>
                <w:szCs w:val="18"/>
                <w:highlight w:val="none"/>
                <w:u w:val="none"/>
                <w:lang w:val="en-US" w:eastAsia="zh-CN" w:bidi="ar"/>
              </w:rPr>
              <w:t>分</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r>
    </w:tbl>
    <w:p>
      <w:pPr>
        <w:rPr>
          <w:rFonts w:hint="default" w:ascii="Times New Roman" w:hAnsi="Times New Roman" w:cs="Times New Roman"/>
          <w:color w:val="auto"/>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7"/>
          <w:jc w:val="center"/>
        </w:pPr>
        <w:r>
          <w:fldChar w:fldCharType="begin"/>
        </w:r>
        <w:r>
          <w:instrText xml:space="preserve">PAGE   \* MERGEFORMAT</w:instrText>
        </w:r>
        <w:r>
          <w:fldChar w:fldCharType="separate"/>
        </w:r>
        <w:r>
          <w:rPr>
            <w:lang w:val="zh-CN"/>
          </w:rPr>
          <w:t>13</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hhMjhiOGU2NTFmZDhhZGQxNGU1YTAxNmJiOGIxZTkifQ=="/>
  </w:docVars>
  <w:rsids>
    <w:rsidRoot w:val="FF6C4049"/>
    <w:rsid w:val="006F7242"/>
    <w:rsid w:val="007B168A"/>
    <w:rsid w:val="008B2CFE"/>
    <w:rsid w:val="00D74F59"/>
    <w:rsid w:val="00F26FF6"/>
    <w:rsid w:val="01610122"/>
    <w:rsid w:val="02510197"/>
    <w:rsid w:val="03EC461B"/>
    <w:rsid w:val="041E34FE"/>
    <w:rsid w:val="0461077D"/>
    <w:rsid w:val="07397B77"/>
    <w:rsid w:val="07C91D97"/>
    <w:rsid w:val="0AD007F3"/>
    <w:rsid w:val="0CDD34FB"/>
    <w:rsid w:val="0E3C619F"/>
    <w:rsid w:val="100F38EC"/>
    <w:rsid w:val="11170296"/>
    <w:rsid w:val="12C66037"/>
    <w:rsid w:val="12CD1ABC"/>
    <w:rsid w:val="13471461"/>
    <w:rsid w:val="13B90F01"/>
    <w:rsid w:val="155E4C4D"/>
    <w:rsid w:val="181066D2"/>
    <w:rsid w:val="1C671E73"/>
    <w:rsid w:val="1D322C47"/>
    <w:rsid w:val="20476C52"/>
    <w:rsid w:val="215007AB"/>
    <w:rsid w:val="23616034"/>
    <w:rsid w:val="23696C97"/>
    <w:rsid w:val="24480FA2"/>
    <w:rsid w:val="25227A45"/>
    <w:rsid w:val="26AC3A6A"/>
    <w:rsid w:val="29927533"/>
    <w:rsid w:val="2A091A87"/>
    <w:rsid w:val="2A1F1090"/>
    <w:rsid w:val="2B9D7E25"/>
    <w:rsid w:val="2C7C7A3B"/>
    <w:rsid w:val="2F364819"/>
    <w:rsid w:val="2FD63906"/>
    <w:rsid w:val="36BF718D"/>
    <w:rsid w:val="37215DAE"/>
    <w:rsid w:val="38CA40DD"/>
    <w:rsid w:val="395F2B56"/>
    <w:rsid w:val="3BBA0580"/>
    <w:rsid w:val="3BECE841"/>
    <w:rsid w:val="3CDE204C"/>
    <w:rsid w:val="3D363C36"/>
    <w:rsid w:val="3E9C3F6D"/>
    <w:rsid w:val="3FF7797D"/>
    <w:rsid w:val="46690BD8"/>
    <w:rsid w:val="49F70BF1"/>
    <w:rsid w:val="4B4340EE"/>
    <w:rsid w:val="4D0D7179"/>
    <w:rsid w:val="503D507A"/>
    <w:rsid w:val="506A4DDA"/>
    <w:rsid w:val="51FA74D0"/>
    <w:rsid w:val="527A5417"/>
    <w:rsid w:val="52AA4A52"/>
    <w:rsid w:val="58BE0D22"/>
    <w:rsid w:val="59943D66"/>
    <w:rsid w:val="59E051FD"/>
    <w:rsid w:val="59E6355E"/>
    <w:rsid w:val="5B821531"/>
    <w:rsid w:val="5BFF6039"/>
    <w:rsid w:val="5D76A616"/>
    <w:rsid w:val="5D7F20B9"/>
    <w:rsid w:val="5DAC7D0E"/>
    <w:rsid w:val="5F98B5AF"/>
    <w:rsid w:val="5FFE8511"/>
    <w:rsid w:val="5FFEACE2"/>
    <w:rsid w:val="609D5BF6"/>
    <w:rsid w:val="61073070"/>
    <w:rsid w:val="61B9080E"/>
    <w:rsid w:val="61DF3FED"/>
    <w:rsid w:val="642B176B"/>
    <w:rsid w:val="643EE26D"/>
    <w:rsid w:val="656019A0"/>
    <w:rsid w:val="65E2282A"/>
    <w:rsid w:val="65F242EE"/>
    <w:rsid w:val="666D7E19"/>
    <w:rsid w:val="68376930"/>
    <w:rsid w:val="68F91E38"/>
    <w:rsid w:val="6A1341FD"/>
    <w:rsid w:val="6B3158B9"/>
    <w:rsid w:val="6BA02A3F"/>
    <w:rsid w:val="6C1E5A53"/>
    <w:rsid w:val="6F5C41AC"/>
    <w:rsid w:val="6FAB29C1"/>
    <w:rsid w:val="6FAF6C78"/>
    <w:rsid w:val="716167CC"/>
    <w:rsid w:val="718A7AD1"/>
    <w:rsid w:val="72A44BC2"/>
    <w:rsid w:val="7317C656"/>
    <w:rsid w:val="734ED73F"/>
    <w:rsid w:val="73C82B32"/>
    <w:rsid w:val="73F94DAE"/>
    <w:rsid w:val="74220495"/>
    <w:rsid w:val="747D1B6F"/>
    <w:rsid w:val="749E5641"/>
    <w:rsid w:val="76271066"/>
    <w:rsid w:val="77FD8BE9"/>
    <w:rsid w:val="78000AED"/>
    <w:rsid w:val="79A9BD3F"/>
    <w:rsid w:val="7B776F12"/>
    <w:rsid w:val="7BFFFDD0"/>
    <w:rsid w:val="7C336E5F"/>
    <w:rsid w:val="7C8D4919"/>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27</Pages>
  <Words>12180</Words>
  <Characters>12814</Characters>
  <Lines>58</Lines>
  <Paragraphs>16</Paragraphs>
  <TotalTime>19</TotalTime>
  <ScaleCrop>false</ScaleCrop>
  <LinksUpToDate>false</LinksUpToDate>
  <CharactersWithSpaces>12837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cp:lastPrinted>2025-04-28T03:34:00Z</cp:lastPrinted>
  <dcterms:modified xsi:type="dcterms:W3CDTF">2025-04-28T11:34:40Z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F1A32EB7C53F433780EB4BD1AD3DECDF_13</vt:lpwstr>
  </property>
  <property fmtid="{D5CDD505-2E9C-101B-9397-08002B2CF9AE}" pid="4" name="KSOTemplateDocerSaveRecord">
    <vt:lpwstr>eyJoZGlkIjoiYTRkOTIwZjc5YmU2ZTY5MjQ2MTljMmZlZWEzNGY0OTAiLCJ1c2VySWQiOiI0MzUzMjU0MzcifQ==</vt:lpwstr>
  </property>
</Properties>
</file>